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BE680" w14:textId="20A7D8FF" w:rsidR="00A04A93" w:rsidRPr="008322EE" w:rsidRDefault="00A04A93" w:rsidP="00A04A93">
      <w:pPr>
        <w:widowControl w:val="0"/>
        <w:tabs>
          <w:tab w:val="left" w:pos="1701"/>
          <w:tab w:val="right" w:pos="9923"/>
        </w:tabs>
        <w:overflowPunct/>
        <w:autoSpaceDE/>
        <w:autoSpaceDN/>
        <w:adjustRightInd/>
        <w:spacing w:before="120" w:after="0"/>
        <w:textAlignment w:val="auto"/>
        <w:rPr>
          <w:rFonts w:ascii="Calibri" w:hAnsi="Calibri" w:cs="Calibri"/>
          <w:b/>
          <w:lang w:val="de-DE" w:eastAsia="x-none"/>
        </w:rPr>
      </w:pPr>
      <w:r w:rsidRPr="008322EE">
        <w:rPr>
          <w:rFonts w:ascii="Calibri" w:hAnsi="Calibri" w:cs="Calibri"/>
          <w:b/>
          <w:lang w:val="de-DE" w:eastAsia="x-none"/>
        </w:rPr>
        <w:t>3GPP TSG-RAN WG</w:t>
      </w:r>
      <w:r>
        <w:rPr>
          <w:rFonts w:ascii="Calibri" w:hAnsi="Calibri" w:cs="Calibri"/>
          <w:b/>
          <w:lang w:val="de-DE" w:eastAsia="x-none"/>
        </w:rPr>
        <w:t>3</w:t>
      </w:r>
      <w:r w:rsidRPr="008322EE">
        <w:rPr>
          <w:rFonts w:ascii="Calibri" w:hAnsi="Calibri" w:cs="Calibri"/>
          <w:b/>
          <w:lang w:val="de-DE" w:eastAsia="x-none"/>
        </w:rPr>
        <w:t xml:space="preserve"> Meeting #12</w:t>
      </w:r>
      <w:r>
        <w:rPr>
          <w:rFonts w:ascii="Calibri" w:hAnsi="Calibri" w:cs="Calibri"/>
          <w:b/>
          <w:lang w:val="de-DE" w:eastAsia="x-none"/>
        </w:rPr>
        <w:t>2</w:t>
      </w:r>
      <w:r w:rsidRPr="008322EE">
        <w:rPr>
          <w:rFonts w:ascii="Calibri" w:hAnsi="Calibri" w:cs="Calibri"/>
          <w:b/>
          <w:lang w:val="de-DE" w:eastAsia="x-none"/>
        </w:rPr>
        <w:tab/>
        <w:t>R2-2</w:t>
      </w:r>
      <w:r w:rsidR="00805E58">
        <w:rPr>
          <w:rFonts w:ascii="Calibri" w:hAnsi="Calibri" w:cs="Calibri"/>
          <w:b/>
          <w:lang w:val="de-DE" w:eastAsia="x-none"/>
        </w:rPr>
        <w:t>37245</w:t>
      </w:r>
    </w:p>
    <w:p w14:paraId="42C66197" w14:textId="77777777" w:rsidR="00A04A93" w:rsidRPr="008322EE" w:rsidRDefault="00A04A93" w:rsidP="00A04A93">
      <w:pPr>
        <w:widowControl w:val="0"/>
        <w:tabs>
          <w:tab w:val="left" w:pos="1701"/>
          <w:tab w:val="right" w:pos="9923"/>
        </w:tabs>
        <w:overflowPunct/>
        <w:autoSpaceDE/>
        <w:autoSpaceDN/>
        <w:adjustRightInd/>
        <w:spacing w:before="120" w:after="0"/>
        <w:textAlignment w:val="auto"/>
        <w:rPr>
          <w:rFonts w:ascii="Calibri" w:hAnsi="Calibri" w:cs="Calibri"/>
          <w:b/>
          <w:lang w:val="de-DE" w:eastAsia="x-none"/>
        </w:rPr>
      </w:pPr>
      <w:r w:rsidRPr="008322EE">
        <w:rPr>
          <w:rFonts w:ascii="Calibri" w:hAnsi="Calibri" w:cs="Calibri"/>
          <w:b/>
          <w:lang w:val="de-DE" w:eastAsia="x-none"/>
        </w:rPr>
        <w:t>Chicago, USA, Nov. 13</w:t>
      </w:r>
      <w:r w:rsidRPr="008322EE">
        <w:rPr>
          <w:rFonts w:ascii="Calibri" w:hAnsi="Calibri" w:cs="Calibri"/>
          <w:b/>
          <w:vertAlign w:val="superscript"/>
          <w:lang w:val="de-DE" w:eastAsia="x-none"/>
        </w:rPr>
        <w:t>th</w:t>
      </w:r>
      <w:r w:rsidRPr="008322EE">
        <w:rPr>
          <w:rFonts w:ascii="Calibri" w:hAnsi="Calibri" w:cs="Calibri"/>
          <w:b/>
          <w:lang w:val="de-DE" w:eastAsia="x-none"/>
        </w:rPr>
        <w:t xml:space="preserve"> – 17</w:t>
      </w:r>
      <w:r w:rsidRPr="008322EE">
        <w:rPr>
          <w:rFonts w:ascii="Calibri" w:hAnsi="Calibri" w:cs="Calibri"/>
          <w:b/>
          <w:vertAlign w:val="superscript"/>
          <w:lang w:val="de-DE" w:eastAsia="x-none"/>
        </w:rPr>
        <w:t>th</w:t>
      </w:r>
      <w:r w:rsidRPr="008322EE">
        <w:rPr>
          <w:rFonts w:ascii="Calibri" w:hAnsi="Calibri" w:cs="Calibri"/>
          <w:b/>
          <w:lang w:val="de-DE" w:eastAsia="x-none"/>
        </w:rPr>
        <w:t>, 2023</w:t>
      </w:r>
    </w:p>
    <w:p w14:paraId="0C4B67AF" w14:textId="77777777" w:rsidR="00501135" w:rsidRPr="00A04A93" w:rsidRDefault="00501135">
      <w:pPr>
        <w:pStyle w:val="a3"/>
        <w:rPr>
          <w:rFonts w:ascii="Calibri" w:hAnsi="Calibri" w:cs="Calibri"/>
          <w:bCs/>
          <w:noProof w:val="0"/>
          <w:sz w:val="24"/>
          <w:lang w:val="de-DE" w:eastAsia="ja-JP"/>
        </w:rPr>
      </w:pPr>
    </w:p>
    <w:p w14:paraId="43D56084" w14:textId="5F000D47" w:rsidR="00501135" w:rsidRPr="00AB4A3B" w:rsidRDefault="008A4C1D">
      <w:pPr>
        <w:pStyle w:val="CRCoverPage"/>
        <w:tabs>
          <w:tab w:val="left" w:pos="1985"/>
        </w:tabs>
        <w:rPr>
          <w:rFonts w:ascii="Calibri" w:hAnsi="Calibri" w:cs="Calibri"/>
          <w:b/>
          <w:bCs/>
          <w:color w:val="000000"/>
          <w:sz w:val="24"/>
          <w:szCs w:val="24"/>
          <w:lang w:val="en-US" w:eastAsia="ja-JP"/>
        </w:rPr>
      </w:pPr>
      <w:r w:rsidRPr="00AB4A3B">
        <w:rPr>
          <w:rFonts w:ascii="Calibri" w:hAnsi="Calibri" w:cs="Calibri"/>
          <w:b/>
          <w:bCs/>
          <w:color w:val="000000"/>
          <w:sz w:val="24"/>
          <w:szCs w:val="24"/>
          <w:lang w:val="en-US"/>
        </w:rPr>
        <w:t>Agenda I</w:t>
      </w:r>
      <w:r w:rsidR="00501135" w:rsidRPr="00AB4A3B">
        <w:rPr>
          <w:rFonts w:ascii="Calibri" w:hAnsi="Calibri" w:cs="Calibri"/>
          <w:b/>
          <w:bCs/>
          <w:color w:val="000000"/>
          <w:sz w:val="24"/>
          <w:szCs w:val="24"/>
          <w:lang w:val="en-US"/>
        </w:rPr>
        <w:t>tem:</w:t>
      </w:r>
      <w:r w:rsidR="00501135" w:rsidRPr="00AB4A3B">
        <w:rPr>
          <w:rFonts w:ascii="Calibri" w:hAnsi="Calibri" w:cs="Calibri"/>
          <w:b/>
          <w:bCs/>
          <w:color w:val="000000"/>
          <w:sz w:val="24"/>
          <w:szCs w:val="24"/>
          <w:lang w:val="en-US"/>
        </w:rPr>
        <w:tab/>
      </w:r>
      <w:r w:rsidR="002B0CFE" w:rsidRPr="00AB4A3B">
        <w:rPr>
          <w:rFonts w:ascii="Calibri" w:hAnsi="Calibri" w:cs="Calibri"/>
          <w:b/>
          <w:bCs/>
          <w:color w:val="000000"/>
          <w:sz w:val="24"/>
          <w:szCs w:val="24"/>
          <w:lang w:val="en-US"/>
        </w:rPr>
        <w:t>10.2.2</w:t>
      </w:r>
    </w:p>
    <w:p w14:paraId="6BE48DC7" w14:textId="2CFB3C60" w:rsidR="00501135" w:rsidRPr="00AB4A3B" w:rsidRDefault="00501135" w:rsidP="00954330">
      <w:pPr>
        <w:tabs>
          <w:tab w:val="left" w:pos="1985"/>
        </w:tabs>
        <w:ind w:left="1985" w:hanging="1985"/>
        <w:rPr>
          <w:rFonts w:ascii="Calibri" w:hAnsi="Calibri" w:cs="Calibri"/>
          <w:b/>
          <w:bCs/>
          <w:sz w:val="24"/>
          <w:lang w:val="en-US" w:eastAsia="ja-JP"/>
        </w:rPr>
      </w:pPr>
      <w:r w:rsidRPr="00AB4A3B">
        <w:rPr>
          <w:rFonts w:ascii="Calibri" w:hAnsi="Calibri" w:cs="Calibri"/>
          <w:b/>
          <w:bCs/>
          <w:sz w:val="24"/>
          <w:lang w:val="en-US"/>
        </w:rPr>
        <w:t>Source:</w:t>
      </w:r>
      <w:r w:rsidRPr="00AB4A3B">
        <w:rPr>
          <w:rFonts w:ascii="Calibri" w:hAnsi="Calibri" w:cs="Calibri"/>
          <w:b/>
          <w:bCs/>
          <w:sz w:val="24"/>
          <w:lang w:val="en-US"/>
        </w:rPr>
        <w:tab/>
      </w:r>
      <w:r w:rsidR="00F120DD" w:rsidRPr="00AB4A3B">
        <w:rPr>
          <w:rFonts w:ascii="Calibri" w:hAnsi="Calibri" w:cs="Calibri"/>
          <w:b/>
          <w:bCs/>
          <w:sz w:val="24"/>
          <w:lang w:val="en-US"/>
        </w:rPr>
        <w:t>NEC</w:t>
      </w:r>
    </w:p>
    <w:p w14:paraId="3A2005BA" w14:textId="7D7EB87F" w:rsidR="00501135" w:rsidRPr="00AB4A3B" w:rsidRDefault="00501135">
      <w:pPr>
        <w:ind w:left="1985" w:hanging="1985"/>
        <w:rPr>
          <w:rFonts w:ascii="Calibri" w:hAnsi="Calibri" w:cs="Calibri"/>
          <w:b/>
          <w:color w:val="000000"/>
          <w:sz w:val="24"/>
          <w:szCs w:val="24"/>
          <w:lang w:val="en-US" w:eastAsia="ja-JP"/>
        </w:rPr>
      </w:pPr>
      <w:r w:rsidRPr="00AB4A3B">
        <w:rPr>
          <w:rFonts w:ascii="Calibri" w:hAnsi="Calibri" w:cs="Calibri"/>
          <w:b/>
          <w:bCs/>
          <w:color w:val="000000"/>
          <w:sz w:val="24"/>
          <w:szCs w:val="24"/>
        </w:rPr>
        <w:t>Title:</w:t>
      </w:r>
      <w:r w:rsidRPr="00AB4A3B">
        <w:rPr>
          <w:rFonts w:ascii="Calibri" w:hAnsi="Calibri" w:cs="Calibri"/>
          <w:b/>
          <w:bCs/>
          <w:color w:val="000000"/>
          <w:sz w:val="24"/>
          <w:szCs w:val="24"/>
        </w:rPr>
        <w:tab/>
      </w:r>
      <w:r w:rsidR="002B0CFE" w:rsidRPr="00AB4A3B">
        <w:rPr>
          <w:rFonts w:ascii="Calibri" w:hAnsi="Calibri" w:cs="Calibri"/>
          <w:b/>
          <w:bCs/>
          <w:sz w:val="24"/>
          <w:lang w:val="en-US"/>
        </w:rPr>
        <w:t>Discuss</w:t>
      </w:r>
      <w:r w:rsidR="00D265F4" w:rsidRPr="00AB4A3B">
        <w:rPr>
          <w:rFonts w:ascii="Calibri" w:hAnsi="Calibri" w:cs="Calibri"/>
          <w:b/>
          <w:bCs/>
          <w:sz w:val="24"/>
          <w:lang w:val="en-US"/>
        </w:rPr>
        <w:t xml:space="preserve">ion on </w:t>
      </w:r>
      <w:r w:rsidR="002B0CFE" w:rsidRPr="00AB4A3B">
        <w:rPr>
          <w:rFonts w:ascii="Calibri" w:hAnsi="Calibri" w:cs="Calibri"/>
          <w:b/>
          <w:bCs/>
          <w:sz w:val="24"/>
          <w:lang w:val="en-US"/>
        </w:rPr>
        <w:t>MRO on fast MCG recovery</w:t>
      </w:r>
    </w:p>
    <w:p w14:paraId="798882EA" w14:textId="7FE18AE6" w:rsidR="00501135" w:rsidRPr="00AB4A3B" w:rsidRDefault="00501135">
      <w:pPr>
        <w:ind w:left="1985" w:hanging="1985"/>
        <w:rPr>
          <w:rFonts w:ascii="Calibri" w:hAnsi="Calibri" w:cs="Calibri"/>
          <w:b/>
          <w:bCs/>
          <w:sz w:val="24"/>
          <w:szCs w:val="24"/>
          <w:lang w:eastAsia="ja-JP"/>
        </w:rPr>
      </w:pPr>
      <w:r w:rsidRPr="00AB4A3B">
        <w:rPr>
          <w:rFonts w:ascii="Calibri" w:hAnsi="Calibri" w:cs="Calibri"/>
          <w:b/>
          <w:bCs/>
          <w:sz w:val="24"/>
          <w:szCs w:val="24"/>
        </w:rPr>
        <w:t>Document for:</w:t>
      </w:r>
      <w:r w:rsidRPr="00AB4A3B">
        <w:rPr>
          <w:rFonts w:ascii="Calibri" w:hAnsi="Calibri" w:cs="Calibri"/>
          <w:b/>
          <w:bCs/>
          <w:sz w:val="24"/>
          <w:szCs w:val="24"/>
        </w:rPr>
        <w:tab/>
      </w:r>
      <w:r w:rsidR="00DE17B5">
        <w:rPr>
          <w:rFonts w:ascii="Calibri" w:hAnsi="Calibri" w:cs="Calibri"/>
          <w:b/>
          <w:bCs/>
          <w:sz w:val="24"/>
          <w:szCs w:val="24"/>
        </w:rPr>
        <w:t>Decision</w:t>
      </w:r>
    </w:p>
    <w:p w14:paraId="05133CC1" w14:textId="77777777" w:rsidR="00501135" w:rsidRPr="00AB4A3B" w:rsidRDefault="00501135">
      <w:pPr>
        <w:pStyle w:val="1"/>
        <w:rPr>
          <w:rFonts w:ascii="Calibri" w:hAnsi="Calibri" w:cs="Calibri"/>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bookmarkStart w:id="7" w:name="_Toc126137453"/>
      <w:bookmarkStart w:id="8" w:name="_Toc126137557"/>
      <w:r w:rsidRPr="00AB4A3B">
        <w:rPr>
          <w:rFonts w:ascii="Calibri" w:hAnsi="Calibri" w:cs="Calibri"/>
        </w:rPr>
        <w:t>1</w:t>
      </w:r>
      <w:r w:rsidRPr="00AB4A3B">
        <w:rPr>
          <w:rFonts w:ascii="Calibri" w:hAnsi="Calibri" w:cs="Calibri"/>
        </w:rPr>
        <w:tab/>
        <w:t>Introduction</w:t>
      </w:r>
      <w:bookmarkEnd w:id="0"/>
      <w:bookmarkEnd w:id="1"/>
      <w:bookmarkEnd w:id="2"/>
      <w:bookmarkEnd w:id="3"/>
      <w:bookmarkEnd w:id="4"/>
      <w:bookmarkEnd w:id="5"/>
      <w:bookmarkEnd w:id="6"/>
      <w:bookmarkEnd w:id="7"/>
      <w:bookmarkEnd w:id="8"/>
    </w:p>
    <w:p w14:paraId="4E5E48EA" w14:textId="79954002" w:rsidR="007D02E1" w:rsidRPr="00AB4A3B" w:rsidRDefault="002B0CFE" w:rsidP="00783749">
      <w:pPr>
        <w:jc w:val="both"/>
        <w:rPr>
          <w:rFonts w:ascii="Calibri" w:hAnsi="Calibri" w:cs="Calibri"/>
        </w:rPr>
      </w:pPr>
      <w:r w:rsidRPr="00AB4A3B">
        <w:rPr>
          <w:rFonts w:ascii="Calibri" w:eastAsiaTheme="minorEastAsia" w:hAnsi="Calibri" w:cs="Calibri"/>
          <w:lang w:eastAsia="zh-CN"/>
        </w:rPr>
        <w:t>Du</w:t>
      </w:r>
      <w:r w:rsidRPr="00AB4A3B">
        <w:rPr>
          <w:rFonts w:ascii="Calibri" w:hAnsi="Calibri" w:cs="Calibri"/>
        </w:rPr>
        <w:t>ring the previous meeting, it has been agreed that</w:t>
      </w:r>
    </w:p>
    <w:tbl>
      <w:tblPr>
        <w:tblStyle w:val="af4"/>
        <w:tblW w:w="0" w:type="auto"/>
        <w:tblLook w:val="04A0" w:firstRow="1" w:lastRow="0" w:firstColumn="1" w:lastColumn="0" w:noHBand="0" w:noVBand="1"/>
      </w:tblPr>
      <w:tblGrid>
        <w:gridCol w:w="9962"/>
      </w:tblGrid>
      <w:tr w:rsidR="002B0CFE" w:rsidRPr="00AB4A3B" w14:paraId="7190D09E" w14:textId="77777777" w:rsidTr="002B0CFE">
        <w:tc>
          <w:tcPr>
            <w:tcW w:w="9962" w:type="dxa"/>
          </w:tcPr>
          <w:p w14:paraId="7396C4E7" w14:textId="77777777" w:rsidR="002B0CFE" w:rsidRPr="00AB4A3B" w:rsidRDefault="002B0CFE" w:rsidP="00783749">
            <w:pPr>
              <w:jc w:val="both"/>
              <w:rPr>
                <w:rFonts w:ascii="Calibri" w:hAnsi="Calibri" w:cs="Calibri"/>
                <w:i/>
                <w:iCs/>
                <w:color w:val="00B050"/>
                <w:kern w:val="2"/>
                <w:u w:val="single"/>
              </w:rPr>
            </w:pPr>
            <w:r w:rsidRPr="00AB4A3B">
              <w:rPr>
                <w:rFonts w:ascii="Calibri" w:hAnsi="Calibri" w:cs="Calibri"/>
                <w:i/>
                <w:iCs/>
                <w:color w:val="00B050"/>
                <w:kern w:val="2"/>
                <w:u w:val="single"/>
              </w:rPr>
              <w:t xml:space="preserve">MRO for the fast MCG recovery: </w:t>
            </w:r>
          </w:p>
          <w:p w14:paraId="7A0CD2B7" w14:textId="03B0B147" w:rsidR="002B0CFE" w:rsidRPr="00AB4A3B" w:rsidRDefault="002B0CFE" w:rsidP="00783749">
            <w:pPr>
              <w:pStyle w:val="31"/>
              <w:widowControl w:val="0"/>
              <w:spacing w:before="120" w:beforeAutospacing="0" w:after="100" w:afterAutospacing="1" w:line="280" w:lineRule="atLeast"/>
              <w:ind w:left="0"/>
              <w:jc w:val="both"/>
              <w:rPr>
                <w:rFonts w:ascii="Calibri" w:eastAsia="MS Mincho" w:hAnsi="Calibri" w:cs="Calibri"/>
                <w:i/>
                <w:iCs/>
                <w:color w:val="00B050"/>
                <w:kern w:val="2"/>
                <w:sz w:val="20"/>
                <w:szCs w:val="20"/>
              </w:rPr>
            </w:pPr>
            <w:r w:rsidRPr="00AB4A3B">
              <w:rPr>
                <w:rFonts w:ascii="Calibri" w:eastAsia="MS Mincho" w:hAnsi="Calibri" w:cs="Calibri"/>
                <w:i/>
                <w:iCs/>
                <w:color w:val="00B050"/>
                <w:kern w:val="2"/>
                <w:sz w:val="20"/>
                <w:szCs w:val="20"/>
              </w:rPr>
              <w:t>Case a: SCG fails or is deactivated when the UE attempts MCG recovery (</w:t>
            </w:r>
            <w:proofErr w:type="gramStart"/>
            <w:r w:rsidRPr="00AB4A3B">
              <w:rPr>
                <w:rFonts w:ascii="Calibri" w:eastAsia="MS Mincho" w:hAnsi="Calibri" w:cs="Calibri"/>
                <w:i/>
                <w:iCs/>
                <w:color w:val="00B050"/>
                <w:kern w:val="2"/>
                <w:sz w:val="20"/>
                <w:szCs w:val="20"/>
              </w:rPr>
              <w:t>i.e.</w:t>
            </w:r>
            <w:proofErr w:type="gramEnd"/>
            <w:r w:rsidRPr="00AB4A3B">
              <w:rPr>
                <w:rFonts w:ascii="Calibri" w:eastAsia="MS Mincho" w:hAnsi="Calibri" w:cs="Calibri"/>
                <w:i/>
                <w:iCs/>
                <w:color w:val="00B050"/>
                <w:kern w:val="2"/>
                <w:sz w:val="20"/>
                <w:szCs w:val="20"/>
              </w:rPr>
              <w:t xml:space="preserve"> a SCG failure/deactivation while T316 is running after MCG failure) </w:t>
            </w:r>
          </w:p>
          <w:p w14:paraId="58FCBFF9" w14:textId="2953814C" w:rsidR="002B0CFE" w:rsidRPr="00AB4A3B" w:rsidRDefault="002B0CFE" w:rsidP="00783749">
            <w:pPr>
              <w:pStyle w:val="31"/>
              <w:widowControl w:val="0"/>
              <w:spacing w:before="120" w:beforeAutospacing="0" w:after="100" w:afterAutospacing="1" w:line="280" w:lineRule="atLeast"/>
              <w:ind w:left="0"/>
              <w:jc w:val="both"/>
              <w:rPr>
                <w:rFonts w:ascii="Calibri" w:eastAsia="MS Mincho" w:hAnsi="Calibri" w:cs="Calibri"/>
                <w:i/>
                <w:iCs/>
                <w:color w:val="00B050"/>
                <w:kern w:val="2"/>
                <w:sz w:val="20"/>
                <w:szCs w:val="20"/>
              </w:rPr>
            </w:pPr>
            <w:r w:rsidRPr="00AB4A3B">
              <w:rPr>
                <w:rFonts w:ascii="Calibri" w:eastAsia="MS Mincho" w:hAnsi="Calibri" w:cs="Calibri"/>
                <w:i/>
                <w:iCs/>
                <w:color w:val="00B050"/>
                <w:kern w:val="2"/>
                <w:sz w:val="20"/>
                <w:szCs w:val="20"/>
              </w:rPr>
              <w:t xml:space="preserve">Case b: the signalling delay is longer than the time the UE waits for the response (T316 expired); </w:t>
            </w:r>
          </w:p>
          <w:p w14:paraId="2B338F82" w14:textId="77777777" w:rsidR="002B0CFE" w:rsidRPr="00AB4A3B" w:rsidRDefault="002B0CFE" w:rsidP="00783749">
            <w:pPr>
              <w:pStyle w:val="31"/>
              <w:widowControl w:val="0"/>
              <w:spacing w:before="120" w:beforeAutospacing="0" w:after="100" w:afterAutospacing="1" w:line="280" w:lineRule="atLeast"/>
              <w:ind w:left="0"/>
              <w:jc w:val="both"/>
              <w:rPr>
                <w:rFonts w:ascii="Calibri" w:eastAsia="MS Mincho" w:hAnsi="Calibri" w:cs="Calibri"/>
                <w:i/>
                <w:iCs/>
                <w:color w:val="00B050"/>
                <w:kern w:val="2"/>
                <w:sz w:val="20"/>
                <w:szCs w:val="20"/>
              </w:rPr>
            </w:pPr>
            <w:r w:rsidRPr="00AB4A3B">
              <w:rPr>
                <w:rFonts w:ascii="Calibri" w:eastAsia="MS Mincho" w:hAnsi="Calibri" w:cs="Calibri"/>
                <w:i/>
                <w:iCs/>
                <w:color w:val="00B050"/>
                <w:kern w:val="2"/>
                <w:sz w:val="20"/>
                <w:szCs w:val="20"/>
              </w:rPr>
              <w:t>other problems are not precluded if legacy MRO mechanism cannot cope with it.</w:t>
            </w:r>
          </w:p>
          <w:p w14:paraId="0B0822E0" w14:textId="77777777" w:rsidR="00CE6E79" w:rsidRPr="00AB4A3B" w:rsidRDefault="00CE6E79" w:rsidP="00783749">
            <w:pPr>
              <w:pStyle w:val="31"/>
              <w:widowControl w:val="0"/>
              <w:spacing w:before="120" w:beforeAutospacing="0" w:after="100" w:afterAutospacing="1" w:line="280" w:lineRule="atLeast"/>
              <w:ind w:left="0"/>
              <w:jc w:val="both"/>
              <w:rPr>
                <w:rFonts w:ascii="Calibri" w:eastAsiaTheme="minorEastAsia" w:hAnsi="Calibri" w:cs="Calibri"/>
                <w:iCs/>
                <w:color w:val="FF0000"/>
                <w:kern w:val="2"/>
                <w:sz w:val="18"/>
                <w:szCs w:val="18"/>
              </w:rPr>
            </w:pPr>
            <w:r w:rsidRPr="00AB4A3B">
              <w:rPr>
                <w:rFonts w:ascii="Calibri" w:eastAsiaTheme="minorEastAsia" w:hAnsi="Calibri" w:cs="Calibri"/>
                <w:iCs/>
                <w:color w:val="FF0000"/>
                <w:kern w:val="2"/>
                <w:sz w:val="18"/>
                <w:szCs w:val="18"/>
              </w:rPr>
              <w:t>RAN3 #119</w:t>
            </w:r>
          </w:p>
          <w:p w14:paraId="7196AC28" w14:textId="77777777" w:rsidR="00CE6E79" w:rsidRPr="00AB4A3B" w:rsidRDefault="00CE6E79" w:rsidP="00CE6E79">
            <w:pPr>
              <w:widowControl w:val="0"/>
              <w:rPr>
                <w:rFonts w:ascii="Calibri" w:eastAsia="等线" w:hAnsi="Calibri" w:cs="Calibri"/>
                <w:b/>
                <w:color w:val="008000"/>
                <w:sz w:val="18"/>
                <w:szCs w:val="24"/>
                <w:u w:val="single"/>
              </w:rPr>
            </w:pPr>
            <w:r w:rsidRPr="00AB4A3B">
              <w:rPr>
                <w:rFonts w:ascii="Calibri" w:hAnsi="Calibri" w:cs="Calibri"/>
                <w:b/>
                <w:color w:val="008000"/>
                <w:sz w:val="18"/>
                <w:szCs w:val="24"/>
              </w:rPr>
              <w:t>Sub-Case b1/Sub-Case b2 would not be considered for MRO for fast MCG recovery failure.</w:t>
            </w:r>
          </w:p>
          <w:p w14:paraId="3C577590" w14:textId="77777777" w:rsidR="00CE6E79" w:rsidRPr="00AB4A3B" w:rsidRDefault="00CE6E79" w:rsidP="00CE6E79">
            <w:pPr>
              <w:rPr>
                <w:rFonts w:ascii="Calibri" w:hAnsi="Calibri" w:cs="Calibri"/>
                <w:b/>
                <w:color w:val="0000FF"/>
                <w:sz w:val="18"/>
                <w:szCs w:val="24"/>
              </w:rPr>
            </w:pPr>
            <w:r w:rsidRPr="00AB4A3B">
              <w:rPr>
                <w:rFonts w:ascii="Calibri" w:hAnsi="Calibri" w:cs="Calibri"/>
                <w:b/>
                <w:color w:val="0000FF"/>
                <w:sz w:val="18"/>
                <w:szCs w:val="24"/>
              </w:rPr>
              <w:t>Case c/Case d/Case e/Case f would not be considered for MRO for fast MCG recovery failure?</w:t>
            </w:r>
          </w:p>
          <w:p w14:paraId="52672E42" w14:textId="77777777" w:rsidR="00CE6E79" w:rsidRPr="00AB4A3B" w:rsidRDefault="00CE6E79" w:rsidP="00CE6E79">
            <w:pPr>
              <w:rPr>
                <w:rFonts w:ascii="Calibri" w:hAnsi="Calibri" w:cs="Calibri"/>
                <w:b/>
                <w:color w:val="0000FF"/>
                <w:sz w:val="18"/>
                <w:szCs w:val="24"/>
              </w:rPr>
            </w:pPr>
            <w:r w:rsidRPr="00AB4A3B">
              <w:rPr>
                <w:rFonts w:ascii="Calibri" w:hAnsi="Calibri" w:cs="Calibri"/>
                <w:b/>
                <w:color w:val="0000FF"/>
                <w:sz w:val="18"/>
                <w:szCs w:val="24"/>
              </w:rPr>
              <w:t>Additional information to be reported by UE?</w:t>
            </w:r>
          </w:p>
          <w:p w14:paraId="5B668E44" w14:textId="77777777" w:rsidR="002D5ED6" w:rsidRPr="00AB4A3B" w:rsidRDefault="002D5ED6" w:rsidP="002D5ED6">
            <w:pPr>
              <w:rPr>
                <w:rFonts w:ascii="Calibri" w:hAnsi="Calibri" w:cs="Calibri"/>
                <w:b/>
                <w:bCs/>
                <w:color w:val="008000"/>
                <w:szCs w:val="22"/>
                <w:u w:val="single"/>
              </w:rPr>
            </w:pPr>
            <w:r w:rsidRPr="00AB4A3B">
              <w:rPr>
                <w:rFonts w:ascii="Calibri" w:hAnsi="Calibri" w:cs="Calibri"/>
                <w:b/>
                <w:bCs/>
                <w:color w:val="008000"/>
                <w:szCs w:val="22"/>
                <w:u w:val="single"/>
              </w:rPr>
              <w:t>Agreements:</w:t>
            </w:r>
          </w:p>
          <w:p w14:paraId="086C9CF3" w14:textId="77777777" w:rsidR="002D5ED6" w:rsidRPr="00AB4A3B" w:rsidRDefault="002D5ED6" w:rsidP="002D5ED6">
            <w:pPr>
              <w:rPr>
                <w:rFonts w:ascii="Calibri" w:hAnsi="Calibri" w:cs="Calibri"/>
                <w:b/>
                <w:bCs/>
                <w:color w:val="008000"/>
                <w:sz w:val="18"/>
              </w:rPr>
            </w:pPr>
            <w:r w:rsidRPr="00AB4A3B">
              <w:rPr>
                <w:rFonts w:ascii="Calibri" w:hAnsi="Calibri" w:cs="Calibri"/>
                <w:b/>
                <w:bCs/>
                <w:color w:val="008000"/>
                <w:sz w:val="18"/>
              </w:rPr>
              <w:t>Definitions of MRO events for CPAC will be introduced in TS 37.340 in a new chapter (based on [1226], CPA needs to be added).</w:t>
            </w:r>
          </w:p>
          <w:p w14:paraId="49CDCC60" w14:textId="77777777" w:rsidR="002D5ED6" w:rsidRPr="00AB4A3B" w:rsidRDefault="002D5ED6" w:rsidP="002D5ED6">
            <w:pPr>
              <w:rPr>
                <w:rFonts w:ascii="Calibri" w:hAnsi="Calibri" w:cs="Calibri"/>
                <w:b/>
                <w:bCs/>
                <w:color w:val="008000"/>
                <w:szCs w:val="22"/>
                <w:u w:val="single"/>
              </w:rPr>
            </w:pPr>
            <w:r w:rsidRPr="00AB4A3B">
              <w:rPr>
                <w:rFonts w:ascii="Calibri" w:hAnsi="Calibri" w:cs="Calibri"/>
                <w:b/>
                <w:bCs/>
                <w:color w:val="008000"/>
                <w:szCs w:val="22"/>
                <w:u w:val="single"/>
              </w:rPr>
              <w:t>Agreements:</w:t>
            </w:r>
          </w:p>
          <w:p w14:paraId="77265E41" w14:textId="77777777" w:rsidR="002D5ED6" w:rsidRPr="00AB4A3B" w:rsidRDefault="002D5ED6" w:rsidP="002D5ED6">
            <w:pPr>
              <w:rPr>
                <w:rFonts w:ascii="Calibri" w:hAnsi="Calibri" w:cs="Calibri"/>
                <w:b/>
                <w:bCs/>
                <w:color w:val="008000"/>
                <w:sz w:val="18"/>
              </w:rPr>
            </w:pPr>
            <w:r w:rsidRPr="00AB4A3B">
              <w:rPr>
                <w:rFonts w:ascii="Calibri" w:hAnsi="Calibri" w:cs="Calibri"/>
                <w:b/>
                <w:bCs/>
                <w:color w:val="008000"/>
                <w:sz w:val="18"/>
              </w:rPr>
              <w:t xml:space="preserve">During CPAC configuration, the value of the Time Stay IE for the source PSCell UHI, sent in S-NODE ADDITION REQUEST message, does not reflect the exact time the UE stayed in the source PSCell. </w:t>
            </w:r>
          </w:p>
          <w:p w14:paraId="15FAEC96" w14:textId="77777777" w:rsidR="002D5ED6" w:rsidRPr="00AB4A3B" w:rsidRDefault="002D5ED6" w:rsidP="002D5ED6">
            <w:pPr>
              <w:rPr>
                <w:rFonts w:ascii="Calibri" w:hAnsi="Calibri" w:cs="Calibri"/>
                <w:bCs/>
                <w:color w:val="0000FF"/>
                <w:sz w:val="18"/>
              </w:rPr>
            </w:pPr>
            <w:r w:rsidRPr="00AB4A3B">
              <w:rPr>
                <w:rFonts w:ascii="Calibri" w:hAnsi="Calibri" w:cs="Calibri"/>
                <w:bCs/>
                <w:color w:val="0000FF"/>
                <w:sz w:val="18"/>
              </w:rPr>
              <w:t>In Rel.18, no extra signalling will be enabled to support CPAC UHI, stage2 text to be checked?</w:t>
            </w:r>
          </w:p>
          <w:p w14:paraId="5652EB77" w14:textId="77777777" w:rsidR="002D5ED6" w:rsidRPr="00AB4A3B" w:rsidRDefault="002D5ED6" w:rsidP="002D5ED6">
            <w:pPr>
              <w:rPr>
                <w:rFonts w:ascii="Calibri" w:hAnsi="Calibri" w:cs="Calibri"/>
                <w:bCs/>
                <w:color w:val="0000FF"/>
                <w:sz w:val="18"/>
              </w:rPr>
            </w:pPr>
            <w:r w:rsidRPr="00AB4A3B">
              <w:rPr>
                <w:rFonts w:ascii="Calibri" w:hAnsi="Calibri" w:cs="Calibri"/>
                <w:bCs/>
                <w:color w:val="0000FF"/>
                <w:sz w:val="18"/>
              </w:rPr>
              <w:t>A scenario when MCG fails before CPA/CPC is executed is a subject to regular MCG MRO correction to avoid possible resource waste.</w:t>
            </w:r>
          </w:p>
          <w:p w14:paraId="46201E2E" w14:textId="77777777" w:rsidR="002D5ED6" w:rsidRPr="00AB4A3B" w:rsidRDefault="002D5ED6" w:rsidP="002D5ED6">
            <w:pPr>
              <w:rPr>
                <w:rFonts w:ascii="Calibri" w:hAnsi="Calibri" w:cs="Calibri"/>
                <w:b/>
                <w:bCs/>
                <w:color w:val="008000"/>
                <w:szCs w:val="22"/>
                <w:u w:val="single"/>
              </w:rPr>
            </w:pPr>
            <w:r w:rsidRPr="00AB4A3B">
              <w:rPr>
                <w:rFonts w:ascii="Calibri" w:hAnsi="Calibri" w:cs="Calibri"/>
                <w:b/>
                <w:bCs/>
                <w:color w:val="008000"/>
                <w:szCs w:val="22"/>
                <w:u w:val="single"/>
              </w:rPr>
              <w:t>Agreements:</w:t>
            </w:r>
          </w:p>
          <w:p w14:paraId="59329E68" w14:textId="77777777" w:rsidR="002D5ED6" w:rsidRPr="00AB4A3B" w:rsidRDefault="002D5ED6" w:rsidP="002D5ED6">
            <w:pPr>
              <w:rPr>
                <w:rFonts w:ascii="Calibri" w:hAnsi="Calibri" w:cs="Calibri"/>
                <w:b/>
                <w:bCs/>
                <w:color w:val="008000"/>
                <w:sz w:val="18"/>
              </w:rPr>
            </w:pPr>
            <w:r w:rsidRPr="00AB4A3B">
              <w:rPr>
                <w:rFonts w:ascii="Calibri" w:hAnsi="Calibri" w:cs="Calibri"/>
                <w:b/>
                <w:bCs/>
                <w:color w:val="008000"/>
                <w:sz w:val="18"/>
              </w:rPr>
              <w:t xml:space="preserve">Case f1, where the SCG fails or is deactivated yet before the UE sends the MCGFailureInformation is to be addressed. </w:t>
            </w:r>
          </w:p>
          <w:p w14:paraId="05F3D181" w14:textId="77777777" w:rsidR="002D5ED6" w:rsidRPr="00AB4A3B" w:rsidRDefault="002D5ED6" w:rsidP="002D5ED6">
            <w:pPr>
              <w:rPr>
                <w:rFonts w:ascii="Calibri" w:hAnsi="Calibri" w:cs="Calibri"/>
                <w:bCs/>
                <w:color w:val="0000FF"/>
                <w:sz w:val="18"/>
              </w:rPr>
            </w:pPr>
            <w:r w:rsidRPr="00AB4A3B">
              <w:rPr>
                <w:rFonts w:ascii="Calibri" w:hAnsi="Calibri" w:cs="Calibri"/>
                <w:bCs/>
                <w:color w:val="0000FF"/>
                <w:sz w:val="18"/>
              </w:rPr>
              <w:t xml:space="preserve">Case (c), </w:t>
            </w:r>
            <w:proofErr w:type="gramStart"/>
            <w:r w:rsidRPr="00AB4A3B">
              <w:rPr>
                <w:rFonts w:ascii="Calibri" w:hAnsi="Calibri" w:cs="Calibri"/>
                <w:bCs/>
                <w:color w:val="0000FF"/>
                <w:sz w:val="18"/>
              </w:rPr>
              <w:t>i.e.</w:t>
            </w:r>
            <w:proofErr w:type="gramEnd"/>
            <w:r w:rsidRPr="00AB4A3B">
              <w:rPr>
                <w:rFonts w:ascii="Calibri" w:hAnsi="Calibri" w:cs="Calibri"/>
                <w:bCs/>
                <w:color w:val="0000FF"/>
                <w:sz w:val="18"/>
              </w:rPr>
              <w:t xml:space="preserve"> the “near-failure scenario” will be addressed.</w:t>
            </w:r>
          </w:p>
          <w:p w14:paraId="75B8ED8B" w14:textId="77777777" w:rsidR="002D5ED6" w:rsidRPr="00AB4A3B" w:rsidRDefault="002D5ED6" w:rsidP="002D5ED6">
            <w:pPr>
              <w:rPr>
                <w:rFonts w:ascii="Calibri" w:hAnsi="Calibri" w:cs="Calibri"/>
                <w:bCs/>
                <w:color w:val="0000FF"/>
                <w:sz w:val="18"/>
              </w:rPr>
            </w:pPr>
            <w:r w:rsidRPr="00AB4A3B">
              <w:rPr>
                <w:rFonts w:ascii="Calibri" w:hAnsi="Calibri" w:cs="Calibri"/>
                <w:bCs/>
                <w:color w:val="0000FF"/>
                <w:sz w:val="18"/>
              </w:rPr>
              <w:t>WA: In order to enable support for pre-Rel.18 UEs (and help avoid wasting Uu resources), the T316 will be delivered from the MN to the SN.</w:t>
            </w:r>
          </w:p>
          <w:p w14:paraId="527DE9BA" w14:textId="77777777" w:rsidR="002D5ED6" w:rsidRPr="00AB4A3B" w:rsidRDefault="002D5ED6" w:rsidP="002D5ED6">
            <w:pPr>
              <w:rPr>
                <w:rFonts w:ascii="Calibri" w:hAnsi="Calibri" w:cs="Calibri"/>
                <w:b/>
                <w:bCs/>
                <w:color w:val="008000"/>
                <w:szCs w:val="22"/>
                <w:u w:val="single"/>
              </w:rPr>
            </w:pPr>
            <w:r w:rsidRPr="00AB4A3B">
              <w:rPr>
                <w:rFonts w:ascii="Calibri" w:hAnsi="Calibri" w:cs="Calibri"/>
                <w:b/>
                <w:bCs/>
                <w:color w:val="008000"/>
                <w:szCs w:val="22"/>
                <w:u w:val="single"/>
              </w:rPr>
              <w:t>Agreements:</w:t>
            </w:r>
          </w:p>
          <w:p w14:paraId="437C64B4" w14:textId="77777777" w:rsidR="002D5ED6" w:rsidRPr="00AB4A3B" w:rsidRDefault="002D5ED6" w:rsidP="002D5ED6">
            <w:pPr>
              <w:rPr>
                <w:rFonts w:ascii="Calibri" w:hAnsi="Calibri" w:cs="Calibri"/>
                <w:b/>
                <w:bCs/>
                <w:color w:val="008000"/>
                <w:sz w:val="18"/>
              </w:rPr>
            </w:pPr>
            <w:r w:rsidRPr="00AB4A3B">
              <w:rPr>
                <w:rFonts w:ascii="Calibri" w:hAnsi="Calibri" w:cs="Calibri"/>
                <w:b/>
                <w:bCs/>
                <w:color w:val="008000"/>
                <w:sz w:val="18"/>
              </w:rPr>
              <w:t xml:space="preserve">Stage-2 description of the detection mechanism will be introduced in TS 38.300 (based on </w:t>
            </w:r>
            <w:hyperlink r:id="rId11" w:history="1">
              <w:r w:rsidRPr="00AB4A3B">
                <w:rPr>
                  <w:rStyle w:val="a8"/>
                  <w:rFonts w:ascii="Calibri" w:hAnsi="Calibri" w:cs="Calibri"/>
                  <w:b/>
                  <w:bCs/>
                  <w:sz w:val="18"/>
                </w:rPr>
                <w:t>R3-231585</w:t>
              </w:r>
            </w:hyperlink>
            <w:r w:rsidRPr="00AB4A3B">
              <w:rPr>
                <w:rFonts w:ascii="Calibri" w:hAnsi="Calibri" w:cs="Calibri"/>
                <w:b/>
                <w:bCs/>
                <w:color w:val="008000"/>
                <w:sz w:val="18"/>
              </w:rPr>
              <w:t>).</w:t>
            </w:r>
          </w:p>
          <w:p w14:paraId="163028F5" w14:textId="77777777" w:rsidR="002D5ED6" w:rsidRPr="00AB4A3B" w:rsidRDefault="002D5ED6" w:rsidP="002D5ED6">
            <w:pPr>
              <w:rPr>
                <w:rFonts w:ascii="Calibri" w:hAnsi="Calibri" w:cs="Calibri"/>
                <w:b/>
                <w:bCs/>
                <w:color w:val="008000"/>
                <w:szCs w:val="22"/>
                <w:u w:val="single"/>
              </w:rPr>
            </w:pPr>
            <w:r w:rsidRPr="00AB4A3B">
              <w:rPr>
                <w:rFonts w:ascii="Calibri" w:hAnsi="Calibri" w:cs="Calibri"/>
                <w:b/>
                <w:bCs/>
                <w:color w:val="008000"/>
                <w:szCs w:val="22"/>
                <w:u w:val="single"/>
              </w:rPr>
              <w:t>Agreements:</w:t>
            </w:r>
          </w:p>
          <w:p w14:paraId="509FF121" w14:textId="77777777" w:rsidR="002D5ED6" w:rsidRPr="00AB4A3B" w:rsidRDefault="002D5ED6" w:rsidP="002D5ED6">
            <w:pPr>
              <w:rPr>
                <w:rFonts w:ascii="Calibri" w:hAnsi="Calibri" w:cs="Calibri"/>
                <w:b/>
                <w:color w:val="008000"/>
                <w:sz w:val="18"/>
              </w:rPr>
            </w:pPr>
            <w:r w:rsidRPr="00AB4A3B">
              <w:rPr>
                <w:rFonts w:ascii="Calibri" w:hAnsi="Calibri" w:cs="Calibri"/>
                <w:b/>
                <w:bCs/>
                <w:color w:val="008000"/>
                <w:sz w:val="18"/>
              </w:rPr>
              <w:t>Scenario ‘a’ is redefined: SCG fails when the UE is undergoing fast MCG recovery (</w:t>
            </w:r>
            <w:proofErr w:type="gramStart"/>
            <w:r w:rsidRPr="00AB4A3B">
              <w:rPr>
                <w:rFonts w:ascii="Calibri" w:hAnsi="Calibri" w:cs="Calibri"/>
                <w:b/>
                <w:bCs/>
                <w:color w:val="008000"/>
                <w:sz w:val="18"/>
              </w:rPr>
              <w:t>i.e.</w:t>
            </w:r>
            <w:proofErr w:type="gramEnd"/>
            <w:r w:rsidRPr="00AB4A3B">
              <w:rPr>
                <w:rFonts w:ascii="Calibri" w:hAnsi="Calibri" w:cs="Calibri"/>
                <w:b/>
                <w:bCs/>
                <w:color w:val="008000"/>
                <w:sz w:val="18"/>
              </w:rPr>
              <w:t xml:space="preserve"> SCG failure happens while T316 is running).</w:t>
            </w:r>
          </w:p>
          <w:p w14:paraId="22F26CAF" w14:textId="77777777" w:rsidR="002D5ED6" w:rsidRPr="00AB4A3B" w:rsidRDefault="002D5ED6" w:rsidP="002D5ED6">
            <w:pPr>
              <w:rPr>
                <w:rFonts w:ascii="Calibri" w:hAnsi="Calibri" w:cs="Calibri"/>
                <w:b/>
                <w:bCs/>
                <w:color w:val="FF0000"/>
                <w:sz w:val="18"/>
              </w:rPr>
            </w:pPr>
            <w:r w:rsidRPr="00AB4A3B">
              <w:rPr>
                <w:rFonts w:ascii="Calibri" w:hAnsi="Calibri" w:cs="Calibri"/>
                <w:b/>
                <w:bCs/>
                <w:color w:val="FF0000"/>
                <w:sz w:val="18"/>
              </w:rPr>
              <w:t>The document containing list of scenarios (last noted at #118 as R3-226422) is recommended to be updated to cover the scenario ‘f1’.</w:t>
            </w:r>
          </w:p>
          <w:p w14:paraId="49404C6A" w14:textId="77777777" w:rsidR="002D5ED6" w:rsidRPr="00AB4A3B" w:rsidRDefault="002D5ED6" w:rsidP="002D5ED6">
            <w:pPr>
              <w:rPr>
                <w:rFonts w:ascii="Calibri" w:hAnsi="Calibri" w:cs="Calibri"/>
              </w:rPr>
            </w:pPr>
            <w:r w:rsidRPr="00AB4A3B">
              <w:rPr>
                <w:rFonts w:ascii="Calibri" w:hAnsi="Calibri" w:cs="Calibri"/>
                <w:bCs/>
                <w:color w:val="0000FF"/>
                <w:sz w:val="18"/>
              </w:rPr>
              <w:lastRenderedPageBreak/>
              <w:t>To be continued: Transfer of the T316 from the MN to the SN to support the MRO for the fast MCG recovery Rel.18 scenarios for pre-Rel.18 UEs (or Uu resource usage optimisation).</w:t>
            </w:r>
          </w:p>
          <w:p w14:paraId="4E6E016B" w14:textId="77777777" w:rsidR="007D0BA8" w:rsidRPr="00AB4A3B" w:rsidRDefault="007D0BA8" w:rsidP="007D0BA8">
            <w:pPr>
              <w:pStyle w:val="Normal4"/>
              <w:rPr>
                <w:b/>
                <w:color w:val="008000"/>
                <w:kern w:val="0"/>
                <w:sz w:val="18"/>
                <w:szCs w:val="22"/>
                <w:lang w:eastAsia="en-US"/>
              </w:rPr>
            </w:pPr>
            <w:proofErr w:type="gramStart"/>
            <w:r w:rsidRPr="00AB4A3B">
              <w:rPr>
                <w:b/>
                <w:bCs/>
                <w:color w:val="008000"/>
                <w:sz w:val="18"/>
                <w:szCs w:val="18"/>
                <w:u w:val="single"/>
                <w:lang w:eastAsia="en-US"/>
              </w:rPr>
              <w:t>Agreements:</w:t>
            </w:r>
            <w:r w:rsidRPr="00AB4A3B">
              <w:rPr>
                <w:b/>
                <w:color w:val="008000"/>
                <w:kern w:val="0"/>
                <w:sz w:val="18"/>
                <w:szCs w:val="22"/>
                <w:lang w:eastAsia="en-US"/>
              </w:rPr>
              <w:t>Agree</w:t>
            </w:r>
            <w:proofErr w:type="gramEnd"/>
            <w:r w:rsidRPr="00AB4A3B">
              <w:rPr>
                <w:b/>
                <w:color w:val="008000"/>
                <w:kern w:val="0"/>
                <w:sz w:val="18"/>
                <w:szCs w:val="22"/>
                <w:lang w:eastAsia="en-US"/>
              </w:rPr>
              <w:t xml:space="preserve"> to define case c in R18. Solution can be further discussed.</w:t>
            </w:r>
          </w:p>
          <w:p w14:paraId="6D393DD6" w14:textId="77777777" w:rsidR="007D0BA8" w:rsidRPr="00AB4A3B" w:rsidRDefault="007D0BA8" w:rsidP="007D0BA8">
            <w:pPr>
              <w:pStyle w:val="Normal4"/>
              <w:rPr>
                <w:kern w:val="0"/>
                <w:sz w:val="18"/>
                <w:szCs w:val="22"/>
                <w:lang w:eastAsia="en-US"/>
              </w:rPr>
            </w:pPr>
            <w:r w:rsidRPr="00AB4A3B">
              <w:rPr>
                <w:kern w:val="0"/>
                <w:sz w:val="18"/>
                <w:szCs w:val="22"/>
                <w:lang w:eastAsia="en-US"/>
              </w:rPr>
              <w:t>How to support pre-R18 UE?</w:t>
            </w:r>
          </w:p>
          <w:p w14:paraId="48061E06" w14:textId="77777777" w:rsidR="007D0BA8" w:rsidRPr="00AB4A3B" w:rsidRDefault="007D0BA8" w:rsidP="007D0BA8">
            <w:pPr>
              <w:rPr>
                <w:rFonts w:ascii="Calibri" w:hAnsi="Calibri" w:cs="Calibri"/>
                <w:b/>
                <w:color w:val="0000FF"/>
                <w:sz w:val="18"/>
              </w:rPr>
            </w:pPr>
            <w:r w:rsidRPr="00AB4A3B">
              <w:rPr>
                <w:rFonts w:ascii="Calibri" w:hAnsi="Calibri" w:cs="Calibri"/>
                <w:b/>
                <w:color w:val="0000FF"/>
                <w:sz w:val="18"/>
              </w:rPr>
              <w:t xml:space="preserve">Whether the </w:t>
            </w:r>
            <w:proofErr w:type="gramStart"/>
            <w:r w:rsidRPr="00AB4A3B">
              <w:rPr>
                <w:rFonts w:ascii="Calibri" w:hAnsi="Calibri" w:cs="Calibri"/>
                <w:b/>
                <w:color w:val="0000FF"/>
                <w:sz w:val="18"/>
              </w:rPr>
              <w:t>network based</w:t>
            </w:r>
            <w:proofErr w:type="gramEnd"/>
            <w:r w:rsidRPr="00AB4A3B">
              <w:rPr>
                <w:rFonts w:ascii="Calibri" w:hAnsi="Calibri" w:cs="Calibri"/>
                <w:b/>
                <w:color w:val="0000FF"/>
                <w:sz w:val="18"/>
              </w:rPr>
              <w:t xml:space="preserve"> solution or UE based solution should be used for Case c?</w:t>
            </w:r>
          </w:p>
          <w:p w14:paraId="7F04EDF2" w14:textId="126BE08A" w:rsidR="007D0BA8" w:rsidRPr="00AB4A3B" w:rsidRDefault="007D0BA8" w:rsidP="007D0BA8">
            <w:pPr>
              <w:rPr>
                <w:rFonts w:ascii="Calibri" w:hAnsi="Calibri" w:cs="Calibri"/>
                <w:b/>
                <w:color w:val="0000FF"/>
                <w:sz w:val="18"/>
              </w:rPr>
            </w:pPr>
            <w:r w:rsidRPr="00AB4A3B">
              <w:rPr>
                <w:rFonts w:ascii="Calibri" w:hAnsi="Calibri" w:cs="Calibri"/>
                <w:b/>
                <w:color w:val="0000FF"/>
                <w:sz w:val="18"/>
              </w:rPr>
              <w:t>Whether the MRO for fast MCG recovery needs to support pre-R18 UEs?</w:t>
            </w:r>
          </w:p>
          <w:p w14:paraId="7B296009" w14:textId="77777777" w:rsidR="007D0BA8" w:rsidRPr="00AB4A3B" w:rsidRDefault="007D0BA8" w:rsidP="007D0BA8">
            <w:pPr>
              <w:pStyle w:val="Normal4"/>
              <w:rPr>
                <w:kern w:val="0"/>
                <w:sz w:val="18"/>
                <w:szCs w:val="22"/>
                <w:u w:val="single"/>
                <w:lang w:eastAsia="en-US"/>
              </w:rPr>
            </w:pPr>
            <w:r w:rsidRPr="00AB4A3B">
              <w:rPr>
                <w:kern w:val="0"/>
                <w:sz w:val="18"/>
                <w:szCs w:val="22"/>
                <w:u w:val="single"/>
                <w:lang w:eastAsia="en-US"/>
              </w:rPr>
              <w:t>MRO for CPAC:</w:t>
            </w:r>
          </w:p>
          <w:p w14:paraId="7D5634AC" w14:textId="77777777" w:rsidR="007D0BA8" w:rsidRPr="00AB4A3B" w:rsidRDefault="007D0BA8" w:rsidP="007D0BA8">
            <w:pPr>
              <w:rPr>
                <w:rFonts w:ascii="Calibri" w:hAnsi="Calibri" w:cs="Calibri"/>
                <w:b/>
                <w:color w:val="0000FF"/>
                <w:sz w:val="18"/>
              </w:rPr>
            </w:pPr>
            <w:r w:rsidRPr="00AB4A3B">
              <w:rPr>
                <w:rFonts w:ascii="Calibri" w:hAnsi="Calibri" w:cs="Calibri"/>
                <w:b/>
                <w:color w:val="0000FF"/>
                <w:sz w:val="18"/>
              </w:rPr>
              <w:t>Whether CPA/CPC candidate PSCell list can be sent from MN to the source/last serving SN?</w:t>
            </w:r>
          </w:p>
          <w:p w14:paraId="6F2FB0FA" w14:textId="77777777" w:rsidR="007D0BA8" w:rsidRPr="00AB4A3B" w:rsidRDefault="007D0BA8" w:rsidP="007D0BA8">
            <w:pPr>
              <w:rPr>
                <w:rFonts w:ascii="Calibri" w:hAnsi="Calibri" w:cs="Calibri"/>
                <w:b/>
                <w:color w:val="0000FF"/>
                <w:sz w:val="18"/>
              </w:rPr>
            </w:pPr>
            <w:r w:rsidRPr="00AB4A3B">
              <w:rPr>
                <w:rFonts w:ascii="Calibri" w:hAnsi="Calibri" w:cs="Calibri"/>
                <w:b/>
                <w:color w:val="0000FF"/>
                <w:sz w:val="18"/>
              </w:rPr>
              <w:t>UHI for CPAC?</w:t>
            </w:r>
          </w:p>
          <w:p w14:paraId="72088577" w14:textId="77777777" w:rsidR="002D5ED6" w:rsidRDefault="00545F08" w:rsidP="00545F08">
            <w:pPr>
              <w:pStyle w:val="Normal4"/>
              <w:rPr>
                <w:b/>
                <w:color w:val="0000FF"/>
                <w:kern w:val="0"/>
                <w:sz w:val="18"/>
                <w:szCs w:val="22"/>
              </w:rPr>
            </w:pPr>
            <w:r w:rsidRPr="00AB4A3B">
              <w:rPr>
                <w:b/>
                <w:color w:val="0000FF"/>
                <w:kern w:val="0"/>
                <w:sz w:val="18"/>
                <w:szCs w:val="22"/>
              </w:rPr>
              <w:t>RAN3 assumes the indication is needed and draft the LS to RAN2 to check the feasibility of the solution for MRO for voice fallback.</w:t>
            </w:r>
          </w:p>
          <w:p w14:paraId="16464848" w14:textId="77777777" w:rsidR="0003274E" w:rsidRDefault="0003274E" w:rsidP="00545F08">
            <w:pPr>
              <w:pStyle w:val="Normal4"/>
              <w:rPr>
                <w:b/>
                <w:color w:val="0000FF"/>
                <w:kern w:val="0"/>
                <w:sz w:val="18"/>
                <w:szCs w:val="22"/>
              </w:rPr>
            </w:pPr>
          </w:p>
          <w:p w14:paraId="27B02FAD" w14:textId="77777777" w:rsidR="00317892" w:rsidRPr="008F3373" w:rsidRDefault="00317892" w:rsidP="00317892">
            <w:pPr>
              <w:rPr>
                <w:rFonts w:ascii="Calibri" w:hAnsi="Calibri" w:cs="Calibri"/>
                <w:sz w:val="18"/>
                <w:u w:val="single"/>
              </w:rPr>
            </w:pPr>
            <w:r w:rsidRPr="008F3373">
              <w:rPr>
                <w:rFonts w:ascii="Calibri" w:hAnsi="Calibri" w:cs="Calibri" w:hint="eastAsia"/>
                <w:sz w:val="18"/>
                <w:u w:val="single"/>
              </w:rPr>
              <w:t>M</w:t>
            </w:r>
            <w:r w:rsidRPr="008F3373">
              <w:rPr>
                <w:rFonts w:ascii="Calibri" w:hAnsi="Calibri" w:cs="Calibri"/>
                <w:sz w:val="18"/>
                <w:u w:val="single"/>
              </w:rPr>
              <w:t>RO for CPAC:</w:t>
            </w:r>
          </w:p>
          <w:p w14:paraId="2D21D0D9" w14:textId="77777777" w:rsidR="00317892" w:rsidRPr="008F3373" w:rsidRDefault="00317892" w:rsidP="00317892">
            <w:pPr>
              <w:rPr>
                <w:rFonts w:ascii="Calibri" w:hAnsi="Calibri" w:cs="Calibri"/>
                <w:b/>
                <w:color w:val="0000FF"/>
                <w:sz w:val="18"/>
              </w:rPr>
            </w:pPr>
            <w:r w:rsidRPr="008F3373">
              <w:rPr>
                <w:rFonts w:ascii="Calibri" w:hAnsi="Calibri" w:cs="Calibri"/>
                <w:b/>
                <w:color w:val="0000FF"/>
                <w:sz w:val="18"/>
              </w:rPr>
              <w:t>For CPA or MN initiated CPC, agree Option 1 as way forward?</w:t>
            </w:r>
          </w:p>
          <w:p w14:paraId="0555D5E0" w14:textId="77777777" w:rsidR="00317892" w:rsidRPr="008F3373" w:rsidRDefault="00317892" w:rsidP="00317892">
            <w:pPr>
              <w:rPr>
                <w:rFonts w:ascii="Calibri" w:hAnsi="Calibri" w:cs="Calibri"/>
                <w:b/>
                <w:color w:val="0000FF"/>
                <w:sz w:val="18"/>
              </w:rPr>
            </w:pPr>
            <w:r w:rsidRPr="008F3373">
              <w:rPr>
                <w:rFonts w:ascii="Calibri" w:hAnsi="Calibri" w:cs="Calibri"/>
                <w:b/>
                <w:color w:val="0000FF"/>
                <w:sz w:val="18"/>
              </w:rPr>
              <w:t>For SN initiated CPC, agree Option 1 as way forward?</w:t>
            </w:r>
          </w:p>
          <w:p w14:paraId="7FFF7D2B" w14:textId="666E0516" w:rsidR="00317892" w:rsidRPr="00317892" w:rsidRDefault="00317892" w:rsidP="00317892">
            <w:pPr>
              <w:rPr>
                <w:rFonts w:ascii="Calibri" w:hAnsi="Calibri" w:cs="Calibri"/>
                <w:b/>
                <w:color w:val="0000FF"/>
                <w:sz w:val="18"/>
              </w:rPr>
            </w:pPr>
            <w:r w:rsidRPr="008F3373">
              <w:rPr>
                <w:rFonts w:ascii="Calibri" w:hAnsi="Calibri" w:cs="Calibri"/>
                <w:b/>
                <w:color w:val="0000FF"/>
                <w:sz w:val="18"/>
              </w:rPr>
              <w:t>Is the MN aware about intra-SN mobility occurring?</w:t>
            </w:r>
          </w:p>
          <w:p w14:paraId="0771C83F" w14:textId="77777777" w:rsidR="00317892" w:rsidRPr="008F3373" w:rsidRDefault="00317892" w:rsidP="00317892">
            <w:pPr>
              <w:pStyle w:val="11"/>
              <w:rPr>
                <w:kern w:val="0"/>
                <w:sz w:val="18"/>
                <w:szCs w:val="24"/>
                <w:u w:val="single"/>
              </w:rPr>
            </w:pPr>
            <w:r w:rsidRPr="008F3373">
              <w:rPr>
                <w:kern w:val="0"/>
                <w:sz w:val="18"/>
                <w:szCs w:val="24"/>
                <w:u w:val="single"/>
              </w:rPr>
              <w:t>MRO for inter-system handover for voice fallback:</w:t>
            </w:r>
          </w:p>
          <w:p w14:paraId="4B006E87" w14:textId="16D0C4FE" w:rsidR="00317892" w:rsidRPr="00317892" w:rsidRDefault="00317892" w:rsidP="00317892">
            <w:pPr>
              <w:pStyle w:val="11"/>
              <w:rPr>
                <w:b/>
                <w:color w:val="0000FF"/>
                <w:kern w:val="0"/>
                <w:sz w:val="18"/>
                <w:szCs w:val="24"/>
              </w:rPr>
            </w:pPr>
            <w:r w:rsidRPr="008F3373">
              <w:rPr>
                <w:b/>
                <w:color w:val="0000FF"/>
                <w:kern w:val="0"/>
                <w:sz w:val="18"/>
                <w:szCs w:val="24"/>
              </w:rPr>
              <w:t>Stage2 and stage3 updates, e.g., name issue</w:t>
            </w:r>
          </w:p>
          <w:p w14:paraId="6A9D1153" w14:textId="77777777" w:rsidR="00317892" w:rsidRPr="008F3373" w:rsidRDefault="00317892" w:rsidP="00317892">
            <w:pPr>
              <w:pStyle w:val="11"/>
              <w:rPr>
                <w:kern w:val="0"/>
                <w:sz w:val="18"/>
                <w:szCs w:val="24"/>
                <w:u w:val="single"/>
              </w:rPr>
            </w:pPr>
            <w:r w:rsidRPr="008F3373">
              <w:rPr>
                <w:kern w:val="0"/>
                <w:sz w:val="18"/>
                <w:szCs w:val="24"/>
                <w:u w:val="single"/>
              </w:rPr>
              <w:t>MRO for the fast MCG recovery:</w:t>
            </w:r>
          </w:p>
          <w:p w14:paraId="26AE86A7" w14:textId="77777777" w:rsidR="00317892" w:rsidRPr="008F3373" w:rsidRDefault="00317892" w:rsidP="00317892">
            <w:pPr>
              <w:rPr>
                <w:rFonts w:ascii="Calibri" w:hAnsi="Calibri" w:cs="Calibri"/>
                <w:b/>
                <w:color w:val="0000FF"/>
                <w:sz w:val="18"/>
              </w:rPr>
            </w:pPr>
            <w:r w:rsidRPr="008F3373">
              <w:rPr>
                <w:rFonts w:ascii="Calibri" w:hAnsi="Calibri" w:cs="Calibri"/>
                <w:b/>
                <w:color w:val="0000FF"/>
                <w:sz w:val="18"/>
              </w:rPr>
              <w:t xml:space="preserve">It is beneficial for the UE to report the time between MCG failure and SCG failure for fast MCG failure recovery. </w:t>
            </w:r>
          </w:p>
          <w:p w14:paraId="107084EB" w14:textId="77777777" w:rsidR="00317892" w:rsidRPr="008F3373" w:rsidRDefault="00317892" w:rsidP="00317892">
            <w:pPr>
              <w:rPr>
                <w:rFonts w:ascii="Calibri" w:hAnsi="Calibri" w:cs="Calibri"/>
                <w:b/>
                <w:color w:val="0000FF"/>
                <w:sz w:val="18"/>
              </w:rPr>
            </w:pPr>
            <w:r w:rsidRPr="008F3373">
              <w:rPr>
                <w:rFonts w:ascii="Calibri" w:hAnsi="Calibri" w:cs="Calibri"/>
                <w:b/>
                <w:color w:val="0000FF"/>
                <w:sz w:val="18"/>
              </w:rPr>
              <w:t>How to forward the information in RAN3?</w:t>
            </w:r>
          </w:p>
          <w:p w14:paraId="4ABA8BC5" w14:textId="670A86F4" w:rsidR="0003274E" w:rsidRPr="00317892" w:rsidRDefault="00317892" w:rsidP="00317892">
            <w:pPr>
              <w:rPr>
                <w:rFonts w:ascii="Calibri" w:hAnsi="Calibri" w:cs="Calibri"/>
                <w:b/>
                <w:color w:val="0000FF"/>
                <w:sz w:val="18"/>
              </w:rPr>
            </w:pPr>
            <w:r w:rsidRPr="008F3373">
              <w:rPr>
                <w:rFonts w:ascii="Calibri" w:hAnsi="Calibri" w:cs="Calibri"/>
                <w:b/>
                <w:color w:val="0000FF"/>
                <w:sz w:val="18"/>
              </w:rPr>
              <w:t>LS to RAN2 on additional information for fast MCG failure recovery?</w:t>
            </w:r>
          </w:p>
        </w:tc>
      </w:tr>
    </w:tbl>
    <w:p w14:paraId="6DC57EEA" w14:textId="4A09FC62" w:rsidR="002B0CFE" w:rsidRPr="00AB4A3B" w:rsidRDefault="002008C5" w:rsidP="00783749">
      <w:pPr>
        <w:jc w:val="both"/>
        <w:rPr>
          <w:rFonts w:ascii="Calibri" w:eastAsiaTheme="minorEastAsia" w:hAnsi="Calibri" w:cs="Calibri"/>
          <w:lang w:eastAsia="zh-CN"/>
        </w:rPr>
      </w:pPr>
      <w:r w:rsidRPr="00AB4A3B">
        <w:rPr>
          <w:rFonts w:ascii="Calibri" w:eastAsiaTheme="minorEastAsia" w:hAnsi="Calibri" w:cs="Calibri"/>
          <w:lang w:eastAsia="zh-CN"/>
        </w:rPr>
        <w:lastRenderedPageBreak/>
        <w:t xml:space="preserve">It could be found that some remaining issues should be resolved </w:t>
      </w:r>
      <w:r w:rsidR="00BB1641" w:rsidRPr="00AB4A3B">
        <w:rPr>
          <w:rFonts w:ascii="Calibri" w:eastAsiaTheme="minorEastAsia" w:hAnsi="Calibri" w:cs="Calibri"/>
          <w:lang w:eastAsia="zh-CN"/>
        </w:rPr>
        <w:t>related to the newly introduced case C</w:t>
      </w:r>
      <w:r w:rsidR="00317892">
        <w:rPr>
          <w:rFonts w:ascii="Calibri" w:eastAsiaTheme="minorEastAsia" w:hAnsi="Calibri" w:cs="Calibri"/>
          <w:lang w:eastAsia="zh-CN"/>
        </w:rPr>
        <w:t>. So in this contribution, we will try to resolve the remaining issues of fast MCG recovery.</w:t>
      </w:r>
    </w:p>
    <w:p w14:paraId="0284C6D2" w14:textId="75E9CCEA" w:rsidR="00BF2752" w:rsidRPr="00AB4A3B" w:rsidRDefault="00501135" w:rsidP="009A4D34">
      <w:pPr>
        <w:pStyle w:val="1"/>
        <w:rPr>
          <w:rFonts w:ascii="Calibri" w:hAnsi="Calibri" w:cs="Calibri"/>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bookmarkStart w:id="16" w:name="_Toc126137454"/>
      <w:bookmarkStart w:id="17" w:name="_Toc126137559"/>
      <w:r w:rsidRPr="00AB4A3B">
        <w:rPr>
          <w:rFonts w:ascii="Calibri" w:hAnsi="Calibri" w:cs="Calibri"/>
        </w:rPr>
        <w:t>2</w:t>
      </w:r>
      <w:r w:rsidRPr="00AB4A3B">
        <w:rPr>
          <w:rFonts w:ascii="Calibri" w:hAnsi="Calibri" w:cs="Calibri"/>
        </w:rPr>
        <w:tab/>
        <w:t>Discussion</w:t>
      </w: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bookmarkStart w:id="25" w:name="_Toc126137455"/>
      <w:bookmarkStart w:id="26" w:name="_Toc126137560"/>
      <w:bookmarkStart w:id="27" w:name="_Hlk16664956"/>
      <w:bookmarkEnd w:id="9"/>
      <w:bookmarkEnd w:id="10"/>
      <w:bookmarkEnd w:id="11"/>
      <w:bookmarkEnd w:id="12"/>
      <w:bookmarkEnd w:id="13"/>
      <w:bookmarkEnd w:id="14"/>
      <w:bookmarkEnd w:id="15"/>
      <w:bookmarkEnd w:id="16"/>
      <w:bookmarkEnd w:id="17"/>
    </w:p>
    <w:p w14:paraId="5642E0E0" w14:textId="5D849075" w:rsidR="0045575C" w:rsidRDefault="009E0A08" w:rsidP="008D20E6">
      <w:pPr>
        <w:jc w:val="both"/>
        <w:rPr>
          <w:rFonts w:ascii="Calibri" w:eastAsiaTheme="minorEastAsia" w:hAnsi="Calibri" w:cs="Calibri"/>
          <w:lang w:eastAsia="zh-CN"/>
        </w:rPr>
      </w:pPr>
      <w:r>
        <w:rPr>
          <w:rFonts w:ascii="Calibri" w:eastAsiaTheme="minorEastAsia" w:hAnsi="Calibri" w:cs="Calibri"/>
          <w:lang w:eastAsia="zh-CN"/>
        </w:rPr>
        <w:t>According to the latest progress, RAN2 has agreed to use RLF report for the near failure case and agreed to include</w:t>
      </w:r>
      <w:r w:rsidR="004434F0">
        <w:rPr>
          <w:rFonts w:ascii="Calibri" w:eastAsiaTheme="minorEastAsia" w:hAnsi="Calibri" w:cs="Calibri"/>
          <w:lang w:eastAsia="zh-CN"/>
        </w:rPr>
        <w:t xml:space="preserve"> elapsed T316 for this scenario. During the offline discussion in the last meeting, some additional information has been proposed</w:t>
      </w:r>
      <w:r w:rsidR="005E5240">
        <w:rPr>
          <w:rFonts w:ascii="Calibri" w:eastAsiaTheme="minorEastAsia" w:hAnsi="Calibri" w:cs="Calibri"/>
          <w:lang w:eastAsia="zh-CN"/>
        </w:rPr>
        <w:t>, which are listed in the following:</w:t>
      </w:r>
    </w:p>
    <w:p w14:paraId="41A6B5A4" w14:textId="003DC826" w:rsidR="005E5240" w:rsidRDefault="007E6E1F" w:rsidP="007E6E1F">
      <w:pPr>
        <w:pStyle w:val="af2"/>
        <w:numPr>
          <w:ilvl w:val="0"/>
          <w:numId w:val="23"/>
        </w:numPr>
        <w:ind w:firstLineChars="0"/>
        <w:jc w:val="both"/>
        <w:rPr>
          <w:rFonts w:ascii="Calibri" w:eastAsiaTheme="minorEastAsia" w:hAnsi="Calibri" w:cs="Calibri"/>
          <w:lang w:eastAsia="zh-CN"/>
        </w:rPr>
      </w:pPr>
      <w:r>
        <w:rPr>
          <w:rFonts w:ascii="Calibri" w:eastAsiaTheme="minorEastAsia" w:hAnsi="Calibri" w:cs="Calibri" w:hint="eastAsia"/>
          <w:lang w:eastAsia="zh-CN"/>
        </w:rPr>
        <w:t>In</w:t>
      </w:r>
      <w:r>
        <w:rPr>
          <w:rFonts w:ascii="Calibri" w:eastAsiaTheme="minorEastAsia" w:hAnsi="Calibri" w:cs="Calibri"/>
          <w:lang w:eastAsia="zh-CN"/>
        </w:rPr>
        <w:t xml:space="preserve">dication that it is a near failure recovery </w:t>
      </w:r>
      <w:proofErr w:type="gramStart"/>
      <w:r>
        <w:rPr>
          <w:rFonts w:ascii="Calibri" w:eastAsiaTheme="minorEastAsia" w:hAnsi="Calibri" w:cs="Calibri"/>
          <w:lang w:eastAsia="zh-CN"/>
        </w:rPr>
        <w:t>case</w:t>
      </w:r>
      <w:r w:rsidR="0010713A">
        <w:rPr>
          <w:rFonts w:ascii="Calibri" w:eastAsiaTheme="minorEastAsia" w:hAnsi="Calibri" w:cs="Calibri"/>
          <w:lang w:eastAsia="zh-CN"/>
        </w:rPr>
        <w:t>(</w:t>
      </w:r>
      <w:proofErr w:type="gramEnd"/>
      <w:r w:rsidR="0010713A">
        <w:rPr>
          <w:rFonts w:ascii="Calibri" w:eastAsiaTheme="minorEastAsia" w:hAnsi="Calibri" w:cs="Calibri"/>
          <w:lang w:eastAsia="zh-CN"/>
        </w:rPr>
        <w:t>e.g. will the presence of T316 be enough to indicate the recovery is successful?)</w:t>
      </w:r>
    </w:p>
    <w:p w14:paraId="5D34021D" w14:textId="3A198B88" w:rsidR="0010713A" w:rsidRDefault="0010713A" w:rsidP="007E6E1F">
      <w:pPr>
        <w:pStyle w:val="af2"/>
        <w:numPr>
          <w:ilvl w:val="0"/>
          <w:numId w:val="23"/>
        </w:numPr>
        <w:ind w:firstLineChars="0"/>
        <w:jc w:val="both"/>
        <w:rPr>
          <w:rFonts w:ascii="Calibri" w:eastAsiaTheme="minorEastAsia" w:hAnsi="Calibri" w:cs="Calibri"/>
          <w:lang w:eastAsia="zh-CN"/>
        </w:rPr>
      </w:pPr>
      <w:r>
        <w:rPr>
          <w:rFonts w:ascii="Calibri" w:eastAsiaTheme="minorEastAsia" w:hAnsi="Calibri" w:cs="Calibri" w:hint="eastAsia"/>
          <w:lang w:eastAsia="zh-CN"/>
        </w:rPr>
        <w:t>P</w:t>
      </w:r>
      <w:r>
        <w:rPr>
          <w:rFonts w:ascii="Calibri" w:eastAsiaTheme="minorEastAsia" w:hAnsi="Calibri" w:cs="Calibri"/>
          <w:lang w:eastAsia="zh-CN"/>
        </w:rPr>
        <w:t>SCell used for fast MCG recovery</w:t>
      </w:r>
    </w:p>
    <w:p w14:paraId="010AA87E" w14:textId="050AB443" w:rsidR="0010713A" w:rsidRDefault="0010713A" w:rsidP="007E6E1F">
      <w:pPr>
        <w:pStyle w:val="af2"/>
        <w:numPr>
          <w:ilvl w:val="0"/>
          <w:numId w:val="23"/>
        </w:numPr>
        <w:ind w:firstLineChars="0"/>
        <w:jc w:val="both"/>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ell where the UE successfully connects after recovery</w:t>
      </w:r>
    </w:p>
    <w:p w14:paraId="260A8768" w14:textId="23C74AA4" w:rsidR="00207920" w:rsidRPr="00F5723E" w:rsidRDefault="00F5723E" w:rsidP="00F5723E">
      <w:pPr>
        <w:jc w:val="both"/>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rom our understanding,</w:t>
      </w:r>
      <w:r w:rsidR="00393AF4">
        <w:rPr>
          <w:rFonts w:ascii="Calibri" w:eastAsiaTheme="minorEastAsia" w:hAnsi="Calibri" w:cs="Calibri"/>
          <w:lang w:eastAsia="zh-CN"/>
        </w:rPr>
        <w:t xml:space="preserve"> since we have already sent the LS towards RAN2 and check the necessity of the first alt, so there is no need to be hurry to </w:t>
      </w:r>
      <w:r w:rsidR="00636B7E">
        <w:rPr>
          <w:rFonts w:ascii="Calibri" w:eastAsiaTheme="minorEastAsia" w:hAnsi="Calibri" w:cs="Calibri"/>
          <w:lang w:eastAsia="zh-CN"/>
        </w:rPr>
        <w:t>make the decision of the first alt</w:t>
      </w:r>
      <w:r w:rsidR="00CB3CD0">
        <w:rPr>
          <w:rFonts w:ascii="Calibri" w:eastAsiaTheme="minorEastAsia" w:hAnsi="Calibri" w:cs="Calibri"/>
          <w:lang w:eastAsia="zh-CN"/>
        </w:rPr>
        <w:t>. Instead, we can wait for RAN2’s further instruction on the necessity</w:t>
      </w:r>
      <w:r w:rsidR="00636B7E">
        <w:rPr>
          <w:rFonts w:ascii="Calibri" w:eastAsiaTheme="minorEastAsia" w:hAnsi="Calibri" w:cs="Calibri"/>
          <w:lang w:eastAsia="zh-CN"/>
        </w:rPr>
        <w:t xml:space="preserve">. For the PSCell used for fast MCG recovery, </w:t>
      </w:r>
      <w:r w:rsidR="00CB3CD0">
        <w:rPr>
          <w:rFonts w:ascii="Calibri" w:eastAsiaTheme="minorEastAsia" w:hAnsi="Calibri" w:cs="Calibri"/>
          <w:lang w:eastAsia="zh-CN"/>
        </w:rPr>
        <w:t xml:space="preserve">it can be included </w:t>
      </w:r>
      <w:r w:rsidR="008E1B31">
        <w:rPr>
          <w:rFonts w:ascii="Calibri" w:eastAsiaTheme="minorEastAsia" w:hAnsi="Calibri" w:cs="Calibri"/>
          <w:lang w:eastAsia="zh-CN"/>
        </w:rPr>
        <w:t xml:space="preserve">in the RLF report since the spec impact would be very small. For the third, so </w:t>
      </w:r>
      <w:proofErr w:type="gramStart"/>
      <w:r w:rsidR="008E1B31">
        <w:rPr>
          <w:rFonts w:ascii="Calibri" w:eastAsiaTheme="minorEastAsia" w:hAnsi="Calibri" w:cs="Calibri"/>
          <w:lang w:eastAsia="zh-CN"/>
        </w:rPr>
        <w:t>far</w:t>
      </w:r>
      <w:proofErr w:type="gramEnd"/>
      <w:r w:rsidR="008E1B31">
        <w:rPr>
          <w:rFonts w:ascii="Calibri" w:eastAsiaTheme="minorEastAsia" w:hAnsi="Calibri" w:cs="Calibri"/>
          <w:lang w:eastAsia="zh-CN"/>
        </w:rPr>
        <w:t xml:space="preserve"> we cannot see any </w:t>
      </w:r>
      <w:r w:rsidR="00207920">
        <w:rPr>
          <w:rFonts w:ascii="Calibri" w:eastAsiaTheme="minorEastAsia" w:hAnsi="Calibri" w:cs="Calibri"/>
          <w:lang w:eastAsia="zh-CN"/>
        </w:rPr>
        <w:t>particular benefit to include it. Therefore, it is suggested to include PSCell used for fast MCG recovery into the RLF report used for near failure case. The corresponding LS can be sent to RAN2.</w:t>
      </w:r>
    </w:p>
    <w:p w14:paraId="2140F5AB" w14:textId="40FA15F5" w:rsidR="00F4074E" w:rsidRPr="00AB4A3B" w:rsidRDefault="00F4074E" w:rsidP="00F4074E">
      <w:pPr>
        <w:pStyle w:val="ProposalStyle"/>
        <w:rPr>
          <w:rFonts w:ascii="Calibri" w:hAnsi="Calibri" w:cs="Calibri"/>
        </w:rPr>
      </w:pPr>
      <w:bookmarkStart w:id="28" w:name="_Toc142311930"/>
      <w:bookmarkStart w:id="29" w:name="_Toc149580089"/>
      <w:bookmarkStart w:id="30" w:name="_Toc149811365"/>
      <w:r w:rsidRPr="00AB4A3B">
        <w:rPr>
          <w:rFonts w:ascii="Calibri" w:hAnsi="Calibri" w:cs="Calibri"/>
        </w:rPr>
        <w:t xml:space="preserve">It is suggested to </w:t>
      </w:r>
      <w:bookmarkEnd w:id="28"/>
      <w:r w:rsidR="00207920">
        <w:rPr>
          <w:rFonts w:ascii="Calibri" w:hAnsi="Calibri" w:cs="Calibri"/>
        </w:rPr>
        <w:t>include</w:t>
      </w:r>
      <w:r w:rsidR="0008634D">
        <w:rPr>
          <w:rFonts w:ascii="Calibri" w:hAnsi="Calibri" w:cs="Calibri"/>
        </w:rPr>
        <w:t xml:space="preserve"> PSCell used for fast MCG recovery into the RLF report used for near failure case and the corresponding LS can be sent to RAN2.</w:t>
      </w:r>
      <w:bookmarkEnd w:id="29"/>
      <w:bookmarkEnd w:id="30"/>
    </w:p>
    <w:p w14:paraId="541F0052" w14:textId="77777777" w:rsidR="00F02E4F" w:rsidRDefault="00C66B77" w:rsidP="00C66B77">
      <w:pPr>
        <w:jc w:val="both"/>
        <w:rPr>
          <w:rFonts w:ascii="Calibri" w:eastAsiaTheme="minorEastAsia" w:hAnsi="Calibri" w:cs="Calibri"/>
          <w:lang w:val="en-US" w:eastAsia="zh-CN"/>
        </w:rPr>
      </w:pPr>
      <w:r w:rsidRPr="00AB4A3B">
        <w:rPr>
          <w:rFonts w:ascii="Calibri" w:eastAsiaTheme="minorEastAsia" w:hAnsi="Calibri" w:cs="Calibri"/>
          <w:lang w:val="en-US" w:eastAsia="zh-CN"/>
        </w:rPr>
        <w:t>During last meeting, one of the remaining issue</w:t>
      </w:r>
      <w:r w:rsidR="00BA5E94" w:rsidRPr="00AB4A3B">
        <w:rPr>
          <w:rFonts w:ascii="Calibri" w:eastAsiaTheme="minorEastAsia" w:hAnsi="Calibri" w:cs="Calibri"/>
          <w:lang w:val="en-US" w:eastAsia="zh-CN"/>
        </w:rPr>
        <w:t>s</w:t>
      </w:r>
      <w:r w:rsidRPr="00AB4A3B">
        <w:rPr>
          <w:rFonts w:ascii="Calibri" w:eastAsiaTheme="minorEastAsia" w:hAnsi="Calibri" w:cs="Calibri"/>
          <w:lang w:val="en-US" w:eastAsia="zh-CN"/>
        </w:rPr>
        <w:t xml:space="preserve"> left, which is whether to transfer T316 from the MN to the SN to support the MRO for the fast MCG recovery Rel-18 scenarios for pre-Rel 18 UEs </w:t>
      </w:r>
      <w:r w:rsidR="00F02E4F">
        <w:rPr>
          <w:rFonts w:ascii="Calibri" w:eastAsiaTheme="minorEastAsia" w:hAnsi="Calibri" w:cs="Calibri"/>
          <w:lang w:val="en-US" w:eastAsia="zh-CN"/>
        </w:rPr>
        <w:t xml:space="preserve">on </w:t>
      </w:r>
      <w:r w:rsidRPr="00AB4A3B">
        <w:rPr>
          <w:rFonts w:ascii="Calibri" w:eastAsiaTheme="minorEastAsia" w:hAnsi="Calibri" w:cs="Calibri"/>
          <w:lang w:val="en-US" w:eastAsia="zh-CN"/>
        </w:rPr>
        <w:t xml:space="preserve">Uu resource usage optimization. </w:t>
      </w:r>
    </w:p>
    <w:tbl>
      <w:tblPr>
        <w:tblStyle w:val="af4"/>
        <w:tblW w:w="0" w:type="auto"/>
        <w:tblLook w:val="04A0" w:firstRow="1" w:lastRow="0" w:firstColumn="1" w:lastColumn="0" w:noHBand="0" w:noVBand="1"/>
      </w:tblPr>
      <w:tblGrid>
        <w:gridCol w:w="9962"/>
      </w:tblGrid>
      <w:tr w:rsidR="0087380D" w14:paraId="54CCC911" w14:textId="77777777" w:rsidTr="0087380D">
        <w:tc>
          <w:tcPr>
            <w:tcW w:w="9962" w:type="dxa"/>
          </w:tcPr>
          <w:p w14:paraId="6C821B92" w14:textId="77777777" w:rsidR="0087380D" w:rsidRPr="00427895" w:rsidRDefault="0087380D" w:rsidP="0087380D">
            <w:pPr>
              <w:rPr>
                <w:rFonts w:ascii="Calibri" w:eastAsia="等线" w:hAnsi="Calibri" w:cs="Calibri"/>
                <w:bCs/>
                <w:color w:val="800000"/>
                <w:szCs w:val="26"/>
              </w:rPr>
            </w:pPr>
            <w:r>
              <w:rPr>
                <w:rFonts w:ascii="Calibri" w:hAnsi="Calibri" w:cs="Calibri"/>
                <w:i/>
                <w:iCs/>
                <w:color w:val="00B050"/>
                <w:kern w:val="2"/>
                <w:sz w:val="16"/>
                <w:szCs w:val="16"/>
                <w:u w:val="single"/>
              </w:rPr>
              <w:t xml:space="preserve">MRO for the fast MCG recovery: </w:t>
            </w:r>
          </w:p>
          <w:p w14:paraId="796FE5B8" w14:textId="5668AEBE" w:rsidR="0087380D" w:rsidRDefault="0087380D" w:rsidP="0087380D">
            <w:pPr>
              <w:jc w:val="both"/>
              <w:rPr>
                <w:rFonts w:ascii="Calibri" w:eastAsiaTheme="minorEastAsia" w:hAnsi="Calibri" w:cs="Calibri"/>
                <w:lang w:val="en-US" w:eastAsia="zh-CN"/>
              </w:rPr>
            </w:pPr>
            <w:r w:rsidRPr="00427895">
              <w:rPr>
                <w:rFonts w:ascii="Calibri" w:hAnsi="Calibri" w:cs="Calibri"/>
                <w:i/>
                <w:color w:val="FF0000"/>
                <w:kern w:val="2"/>
                <w:sz w:val="16"/>
                <w:szCs w:val="16"/>
              </w:rPr>
              <w:t>Support of pre-R18 UEs?</w:t>
            </w:r>
          </w:p>
        </w:tc>
      </w:tr>
    </w:tbl>
    <w:p w14:paraId="052982DB" w14:textId="77777777" w:rsidR="00F02E4F" w:rsidRDefault="00F02E4F" w:rsidP="00C66B77">
      <w:pPr>
        <w:jc w:val="both"/>
        <w:rPr>
          <w:rFonts w:ascii="Calibri" w:eastAsiaTheme="minorEastAsia" w:hAnsi="Calibri" w:cs="Calibri"/>
          <w:lang w:val="en-US" w:eastAsia="zh-CN"/>
        </w:rPr>
      </w:pPr>
    </w:p>
    <w:p w14:paraId="20C9A704" w14:textId="67D583AD" w:rsidR="00C66B77" w:rsidRPr="00AB4A3B" w:rsidRDefault="00C66B77" w:rsidP="00C66B77">
      <w:pPr>
        <w:jc w:val="both"/>
        <w:rPr>
          <w:rFonts w:ascii="Calibri" w:eastAsiaTheme="minorEastAsia" w:hAnsi="Calibri" w:cs="Calibri"/>
          <w:lang w:val="en-US" w:eastAsia="zh-CN"/>
        </w:rPr>
      </w:pPr>
      <w:r w:rsidRPr="00AB4A3B">
        <w:rPr>
          <w:rFonts w:ascii="Calibri" w:eastAsiaTheme="minorEastAsia" w:hAnsi="Calibri" w:cs="Calibri"/>
          <w:lang w:val="en-US" w:eastAsia="zh-CN"/>
        </w:rPr>
        <w:lastRenderedPageBreak/>
        <w:t xml:space="preserve">From our view, at current stage, the motivation of such optimization is not clear due to it is not a must for </w:t>
      </w:r>
      <w:proofErr w:type="gramStart"/>
      <w:r w:rsidRPr="00AB4A3B">
        <w:rPr>
          <w:rFonts w:ascii="Calibri" w:eastAsiaTheme="minorEastAsia" w:hAnsi="Calibri" w:cs="Calibri"/>
          <w:lang w:val="en-US" w:eastAsia="zh-CN"/>
        </w:rPr>
        <w:t>Pre-Rel</w:t>
      </w:r>
      <w:proofErr w:type="gramEnd"/>
      <w:r w:rsidRPr="00AB4A3B">
        <w:rPr>
          <w:rFonts w:ascii="Calibri" w:eastAsiaTheme="minorEastAsia" w:hAnsi="Calibri" w:cs="Calibri"/>
          <w:lang w:val="en-US" w:eastAsia="zh-CN"/>
        </w:rPr>
        <w:t xml:space="preserve"> 18 UE to support the Rel-18 fast MCG recovery scenarios. Thus, such optimization may just involve unnecessary signalling overhead.</w:t>
      </w:r>
    </w:p>
    <w:p w14:paraId="7319039D" w14:textId="77777777" w:rsidR="00C66B77" w:rsidRPr="00AB4A3B" w:rsidRDefault="00C66B77" w:rsidP="00C66B77">
      <w:pPr>
        <w:jc w:val="both"/>
        <w:rPr>
          <w:rFonts w:ascii="Calibri" w:eastAsiaTheme="minorEastAsia" w:hAnsi="Calibri" w:cs="Calibri"/>
          <w:lang w:val="en-US" w:eastAsia="zh-CN"/>
        </w:rPr>
      </w:pPr>
      <w:r w:rsidRPr="00AB4A3B">
        <w:rPr>
          <w:rFonts w:ascii="Calibri" w:eastAsiaTheme="minorEastAsia" w:hAnsi="Calibri" w:cs="Calibri"/>
          <w:lang w:val="en-US" w:eastAsia="zh-CN"/>
        </w:rPr>
        <w:t>Therefore, it is not suggested to transfer T316 from the MN to the SN to support the MRO for the fast MCG recovery Rel-18 scenarios for pre-Rel-18 UE or Uu resource usage optimization.</w:t>
      </w:r>
    </w:p>
    <w:p w14:paraId="292C0778" w14:textId="58B07EAC" w:rsidR="009A4D34" w:rsidRPr="00AB4A3B" w:rsidRDefault="006C62B2" w:rsidP="009A4D34">
      <w:pPr>
        <w:pStyle w:val="ProposalStyle"/>
        <w:rPr>
          <w:rFonts w:ascii="Calibri" w:hAnsi="Calibri" w:cs="Calibri"/>
        </w:rPr>
      </w:pPr>
      <w:bookmarkStart w:id="31" w:name="_Toc149811366"/>
      <w:r>
        <w:rPr>
          <w:rFonts w:ascii="Calibri" w:hAnsi="Calibri" w:cs="Calibri"/>
          <w:lang w:val="en-US"/>
        </w:rPr>
        <w:t>Pre-18 UE should not be supported for fast MCG recovery.</w:t>
      </w:r>
      <w:bookmarkEnd w:id="31"/>
    </w:p>
    <w:p w14:paraId="3A91DD93" w14:textId="74A87DE3" w:rsidR="00BA5E94" w:rsidRPr="00AB4A3B" w:rsidRDefault="00BA5E94" w:rsidP="00BA5E94">
      <w:pPr>
        <w:pStyle w:val="ProposalStyle"/>
        <w:numPr>
          <w:ilvl w:val="0"/>
          <w:numId w:val="0"/>
        </w:numPr>
        <w:rPr>
          <w:rFonts w:ascii="Calibri" w:hAnsi="Calibri" w:cs="Calibri"/>
        </w:rPr>
      </w:pPr>
    </w:p>
    <w:p w14:paraId="591324FC" w14:textId="77777777" w:rsidR="00501135" w:rsidRPr="00AB4A3B" w:rsidRDefault="00501135">
      <w:pPr>
        <w:pStyle w:val="1"/>
        <w:rPr>
          <w:rFonts w:ascii="Calibri" w:hAnsi="Calibri" w:cs="Calibri"/>
        </w:rPr>
      </w:pPr>
      <w:r w:rsidRPr="00AB4A3B">
        <w:rPr>
          <w:rFonts w:ascii="Calibri" w:hAnsi="Calibri" w:cs="Calibri"/>
        </w:rPr>
        <w:t>3</w:t>
      </w:r>
      <w:r w:rsidRPr="00AB4A3B">
        <w:rPr>
          <w:rFonts w:ascii="Calibri" w:hAnsi="Calibri" w:cs="Calibri"/>
        </w:rPr>
        <w:tab/>
      </w:r>
      <w:r w:rsidR="0001024C" w:rsidRPr="00AB4A3B">
        <w:rPr>
          <w:rFonts w:ascii="Calibri" w:hAnsi="Calibri" w:cs="Calibri"/>
        </w:rPr>
        <w:t>Conclusion and Proposals</w:t>
      </w:r>
      <w:bookmarkEnd w:id="18"/>
      <w:bookmarkEnd w:id="19"/>
      <w:bookmarkEnd w:id="20"/>
      <w:bookmarkEnd w:id="21"/>
      <w:bookmarkEnd w:id="22"/>
      <w:bookmarkEnd w:id="23"/>
      <w:bookmarkEnd w:id="24"/>
      <w:bookmarkEnd w:id="25"/>
      <w:bookmarkEnd w:id="26"/>
    </w:p>
    <w:p w14:paraId="3E02E4C0" w14:textId="5BBA35A9" w:rsidR="00CD7395" w:rsidRPr="00AB4A3B" w:rsidRDefault="003925AA" w:rsidP="00CA311A">
      <w:pPr>
        <w:pStyle w:val="Eyecatcher"/>
        <w:ind w:left="0" w:firstLine="0"/>
        <w:jc w:val="both"/>
        <w:rPr>
          <w:rFonts w:ascii="Calibri" w:eastAsiaTheme="minorEastAsia" w:hAnsi="Calibri" w:cs="Calibri"/>
          <w:b w:val="0"/>
          <w:kern w:val="2"/>
          <w:sz w:val="21"/>
          <w:lang w:eastAsia="zh-CN"/>
        </w:rPr>
      </w:pPr>
      <w:r w:rsidRPr="00AB4A3B">
        <w:rPr>
          <w:rFonts w:ascii="Calibri" w:eastAsiaTheme="minorEastAsia" w:hAnsi="Calibri" w:cs="Calibri"/>
          <w:b w:val="0"/>
          <w:kern w:val="2"/>
          <w:sz w:val="21"/>
          <w:lang w:eastAsia="zh-CN"/>
        </w:rPr>
        <w:t>In this contribution, we have analysed other potential cases which may be included in the MRO for fast MCG recovery</w:t>
      </w:r>
      <w:r w:rsidR="003E6E78" w:rsidRPr="00AB4A3B">
        <w:rPr>
          <w:rFonts w:ascii="Calibri" w:eastAsiaTheme="minorEastAsia" w:hAnsi="Calibri" w:cs="Calibri"/>
          <w:b w:val="0"/>
          <w:kern w:val="2"/>
          <w:sz w:val="21"/>
          <w:lang w:eastAsia="zh-CN"/>
        </w:rPr>
        <w:t>, as well as some necessary information should be reported for fast MCG recovery,</w:t>
      </w:r>
      <w:r w:rsidRPr="00AB4A3B">
        <w:rPr>
          <w:rFonts w:ascii="Calibri" w:eastAsiaTheme="minorEastAsia" w:hAnsi="Calibri" w:cs="Calibri"/>
          <w:b w:val="0"/>
          <w:kern w:val="2"/>
          <w:sz w:val="21"/>
          <w:lang w:eastAsia="zh-CN"/>
        </w:rPr>
        <w:t xml:space="preserve"> and the following proposal</w:t>
      </w:r>
      <w:r w:rsidR="003E6E78" w:rsidRPr="00AB4A3B">
        <w:rPr>
          <w:rFonts w:ascii="Calibri" w:eastAsiaTheme="minorEastAsia" w:hAnsi="Calibri" w:cs="Calibri"/>
          <w:b w:val="0"/>
          <w:kern w:val="2"/>
          <w:sz w:val="21"/>
          <w:lang w:eastAsia="zh-CN"/>
        </w:rPr>
        <w:t>s</w:t>
      </w:r>
      <w:r w:rsidRPr="00AB4A3B">
        <w:rPr>
          <w:rFonts w:ascii="Calibri" w:eastAsiaTheme="minorEastAsia" w:hAnsi="Calibri" w:cs="Calibri"/>
          <w:b w:val="0"/>
          <w:kern w:val="2"/>
          <w:sz w:val="21"/>
          <w:lang w:eastAsia="zh-CN"/>
        </w:rPr>
        <w:t xml:space="preserve"> has been given out:</w:t>
      </w:r>
    </w:p>
    <w:p w14:paraId="1352AF9D" w14:textId="77777777" w:rsidR="006C62B2" w:rsidRDefault="006C62B2">
      <w:pPr>
        <w:pStyle w:val="TOC1"/>
        <w:tabs>
          <w:tab w:val="left" w:pos="1260"/>
          <w:tab w:val="right" w:leader="dot" w:pos="9962"/>
        </w:tabs>
        <w:rPr>
          <w:rFonts w:asciiTheme="minorHAnsi" w:eastAsiaTheme="minorEastAsia" w:hAnsiTheme="minorHAnsi" w:cstheme="minorBidi"/>
          <w:bCs w:val="0"/>
          <w:kern w:val="2"/>
          <w:sz w:val="21"/>
        </w:rPr>
      </w:pPr>
      <w:r>
        <w:rPr>
          <w:rFonts w:ascii="Calibri" w:eastAsiaTheme="minorEastAsia" w:hAnsi="Calibri" w:cs="Calibri"/>
          <w:b/>
          <w:kern w:val="2"/>
          <w:sz w:val="21"/>
        </w:rPr>
        <w:fldChar w:fldCharType="begin"/>
      </w:r>
      <w:r>
        <w:rPr>
          <w:rFonts w:ascii="Calibri" w:eastAsiaTheme="minorEastAsia" w:hAnsi="Calibri" w:cs="Calibri"/>
          <w:b/>
          <w:kern w:val="2"/>
          <w:sz w:val="21"/>
        </w:rPr>
        <w:instrText xml:space="preserve"> TOC \n \t "ProposalStyle,1" </w:instrText>
      </w:r>
      <w:r>
        <w:rPr>
          <w:rFonts w:ascii="Calibri" w:eastAsiaTheme="minorEastAsia" w:hAnsi="Calibri" w:cs="Calibri"/>
          <w:b/>
          <w:kern w:val="2"/>
          <w:sz w:val="21"/>
        </w:rPr>
        <w:fldChar w:fldCharType="separate"/>
      </w:r>
      <w:r w:rsidRPr="002F30A1">
        <w:rPr>
          <w:rFonts w:ascii="Calibri" w:hAnsi="Calibri" w:cs="Calibri"/>
        </w:rPr>
        <w:t>Proposal1.</w:t>
      </w:r>
      <w:r>
        <w:rPr>
          <w:rFonts w:asciiTheme="minorHAnsi" w:eastAsiaTheme="minorEastAsia" w:hAnsiTheme="minorHAnsi" w:cstheme="minorBidi"/>
          <w:bCs w:val="0"/>
          <w:kern w:val="2"/>
          <w:sz w:val="21"/>
        </w:rPr>
        <w:tab/>
      </w:r>
      <w:r w:rsidRPr="002F30A1">
        <w:rPr>
          <w:rFonts w:ascii="Calibri" w:hAnsi="Calibri" w:cs="Calibri"/>
        </w:rPr>
        <w:t>It is suggested to include PSCell used for fast MCG recovery into the RLF report used for near failure case and the corresponding LS can be sent to RAN2.</w:t>
      </w:r>
    </w:p>
    <w:p w14:paraId="6627D1DB" w14:textId="77777777" w:rsidR="006C62B2" w:rsidRDefault="006C62B2">
      <w:pPr>
        <w:pStyle w:val="TOC1"/>
        <w:tabs>
          <w:tab w:val="left" w:pos="1260"/>
          <w:tab w:val="right" w:leader="dot" w:pos="9962"/>
        </w:tabs>
        <w:rPr>
          <w:rFonts w:asciiTheme="minorHAnsi" w:eastAsiaTheme="minorEastAsia" w:hAnsiTheme="minorHAnsi" w:cstheme="minorBidi"/>
          <w:bCs w:val="0"/>
          <w:kern w:val="2"/>
          <w:sz w:val="21"/>
        </w:rPr>
      </w:pPr>
      <w:r w:rsidRPr="002F30A1">
        <w:rPr>
          <w:rFonts w:ascii="Calibri" w:hAnsi="Calibri" w:cs="Calibri"/>
        </w:rPr>
        <w:t>Proposal2.</w:t>
      </w:r>
      <w:r>
        <w:rPr>
          <w:rFonts w:asciiTheme="minorHAnsi" w:eastAsiaTheme="minorEastAsia" w:hAnsiTheme="minorHAnsi" w:cstheme="minorBidi"/>
          <w:bCs w:val="0"/>
          <w:kern w:val="2"/>
          <w:sz w:val="21"/>
        </w:rPr>
        <w:tab/>
      </w:r>
      <w:r w:rsidRPr="002F30A1">
        <w:rPr>
          <w:rFonts w:ascii="Calibri" w:hAnsi="Calibri" w:cs="Calibri"/>
        </w:rPr>
        <w:t>Pre-18 UE should not be supported for fast MCG recovery.</w:t>
      </w:r>
    </w:p>
    <w:p w14:paraId="1DA5C99D" w14:textId="20AAA4C3" w:rsidR="003925AA" w:rsidRPr="00AB4A3B" w:rsidRDefault="006C62B2" w:rsidP="00783749">
      <w:pPr>
        <w:pStyle w:val="Eyecatcher"/>
        <w:ind w:left="0" w:firstLine="0"/>
        <w:jc w:val="both"/>
        <w:rPr>
          <w:rFonts w:ascii="Calibri" w:eastAsiaTheme="minorEastAsia" w:hAnsi="Calibri" w:cs="Calibri"/>
          <w:b w:val="0"/>
          <w:kern w:val="2"/>
          <w:sz w:val="21"/>
          <w:lang w:eastAsia="zh-CN"/>
        </w:rPr>
      </w:pPr>
      <w:r>
        <w:rPr>
          <w:rFonts w:ascii="Calibri" w:eastAsiaTheme="minorEastAsia" w:hAnsi="Calibri" w:cs="Calibri"/>
          <w:b w:val="0"/>
          <w:kern w:val="2"/>
          <w:sz w:val="21"/>
          <w:lang w:eastAsia="zh-CN"/>
        </w:rPr>
        <w:fldChar w:fldCharType="end"/>
      </w:r>
    </w:p>
    <w:p w14:paraId="100E7817" w14:textId="77777777" w:rsidR="00501135" w:rsidRPr="00AB4A3B" w:rsidRDefault="00501135" w:rsidP="001601A9">
      <w:pPr>
        <w:pStyle w:val="1"/>
        <w:rPr>
          <w:rFonts w:ascii="Calibri" w:hAnsi="Calibri" w:cs="Calibri"/>
          <w:lang w:eastAsia="ja-JP"/>
        </w:rPr>
      </w:pPr>
      <w:bookmarkStart w:id="32" w:name="_Toc527283433"/>
      <w:bookmarkStart w:id="33" w:name="_Toc527283650"/>
      <w:bookmarkStart w:id="34" w:name="_Toc527283679"/>
      <w:bookmarkStart w:id="35" w:name="_Toc527283743"/>
      <w:bookmarkStart w:id="36" w:name="_Toc527283747"/>
      <w:bookmarkStart w:id="37" w:name="_Toc527283909"/>
      <w:bookmarkStart w:id="38" w:name="_Toc527283926"/>
      <w:bookmarkStart w:id="39" w:name="_Toc126137456"/>
      <w:bookmarkStart w:id="40" w:name="_Toc126137561"/>
      <w:r w:rsidRPr="00AB4A3B">
        <w:rPr>
          <w:rFonts w:ascii="Calibri" w:hAnsi="Calibri" w:cs="Calibri"/>
        </w:rPr>
        <w:t>4</w:t>
      </w:r>
      <w:r w:rsidRPr="00AB4A3B">
        <w:rPr>
          <w:rFonts w:ascii="Calibri" w:hAnsi="Calibri" w:cs="Calibri"/>
        </w:rPr>
        <w:tab/>
        <w:t>References</w:t>
      </w:r>
      <w:bookmarkEnd w:id="32"/>
      <w:bookmarkEnd w:id="33"/>
      <w:bookmarkEnd w:id="34"/>
      <w:bookmarkEnd w:id="35"/>
      <w:bookmarkEnd w:id="36"/>
      <w:bookmarkEnd w:id="37"/>
      <w:bookmarkEnd w:id="38"/>
      <w:bookmarkEnd w:id="39"/>
      <w:bookmarkEnd w:id="40"/>
    </w:p>
    <w:bookmarkEnd w:id="27"/>
    <w:p w14:paraId="1621B1C5" w14:textId="33033A37" w:rsidR="00CD7395" w:rsidRPr="00AB4A3B" w:rsidRDefault="00CD7395" w:rsidP="00EF403A">
      <w:pPr>
        <w:pStyle w:val="Reference"/>
        <w:rPr>
          <w:rFonts w:ascii="Calibri" w:eastAsia="宋体" w:hAnsi="Calibri" w:cs="Calibri"/>
          <w:lang w:eastAsia="zh-CN"/>
        </w:rPr>
      </w:pPr>
    </w:p>
    <w:sectPr w:rsidR="00CD7395" w:rsidRPr="00AB4A3B" w:rsidSect="00E71F43">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2A82" w14:textId="77777777" w:rsidR="00D01458" w:rsidRDefault="00D01458">
      <w:r>
        <w:separator/>
      </w:r>
    </w:p>
  </w:endnote>
  <w:endnote w:type="continuationSeparator" w:id="0">
    <w:p w14:paraId="7CC31053" w14:textId="77777777" w:rsidR="00D01458" w:rsidRDefault="00D01458">
      <w:r>
        <w:continuationSeparator/>
      </w:r>
    </w:p>
  </w:endnote>
  <w:endnote w:type="continuationNotice" w:id="1">
    <w:p w14:paraId="225A0FF3" w14:textId="77777777" w:rsidR="00D01458" w:rsidRDefault="00D01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2F1801" w:rsidRDefault="002F18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2F1801" w:rsidRDefault="002F180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1F964E20" w:rsidR="002F1801" w:rsidRDefault="002F18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61F45">
      <w:rPr>
        <w:rStyle w:val="a7"/>
        <w:noProof/>
      </w:rPr>
      <w:t>2</w:t>
    </w:r>
    <w:r>
      <w:rPr>
        <w:rStyle w:val="a7"/>
      </w:rPr>
      <w:fldChar w:fldCharType="end"/>
    </w:r>
  </w:p>
  <w:p w14:paraId="1A7FF71A" w14:textId="77777777" w:rsidR="002F1801" w:rsidRDefault="002F18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02DB" w14:textId="77777777" w:rsidR="00D01458" w:rsidRDefault="00D01458">
      <w:r>
        <w:separator/>
      </w:r>
    </w:p>
  </w:footnote>
  <w:footnote w:type="continuationSeparator" w:id="0">
    <w:p w14:paraId="330C8228" w14:textId="77777777" w:rsidR="00D01458" w:rsidRDefault="00D01458">
      <w:r>
        <w:continuationSeparator/>
      </w:r>
    </w:p>
  </w:footnote>
  <w:footnote w:type="continuationNotice" w:id="1">
    <w:p w14:paraId="0C09159A" w14:textId="77777777" w:rsidR="00D01458" w:rsidRDefault="00D014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393813"/>
    <w:multiLevelType w:val="hybridMultilevel"/>
    <w:tmpl w:val="F0603E38"/>
    <w:lvl w:ilvl="0" w:tplc="C6903C20">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4" w15:restartNumberingAfterBreak="0">
    <w:nsid w:val="2DBF379A"/>
    <w:multiLevelType w:val="hybridMultilevel"/>
    <w:tmpl w:val="EADA6DE4"/>
    <w:lvl w:ilvl="0" w:tplc="95D45E1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9"/>
  </w:num>
  <w:num w:numId="13">
    <w:abstractNumId w:val="12"/>
  </w:num>
  <w:num w:numId="14">
    <w:abstractNumId w:val="18"/>
  </w:num>
  <w:num w:numId="15">
    <w:abstractNumId w:val="10"/>
  </w:num>
  <w:num w:numId="16">
    <w:abstractNumId w:val="21"/>
  </w:num>
  <w:num w:numId="17">
    <w:abstractNumId w:val="17"/>
  </w:num>
  <w:num w:numId="18">
    <w:abstractNumId w:val="13"/>
  </w:num>
  <w:num w:numId="19">
    <w:abstractNumId w:val="2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1024C"/>
    <w:rsid w:val="00010D88"/>
    <w:rsid w:val="00026DC1"/>
    <w:rsid w:val="0003274E"/>
    <w:rsid w:val="00033356"/>
    <w:rsid w:val="000401B6"/>
    <w:rsid w:val="00046072"/>
    <w:rsid w:val="00051226"/>
    <w:rsid w:val="00051682"/>
    <w:rsid w:val="000640DF"/>
    <w:rsid w:val="000669A2"/>
    <w:rsid w:val="00066F20"/>
    <w:rsid w:val="000719E7"/>
    <w:rsid w:val="00072310"/>
    <w:rsid w:val="0008634D"/>
    <w:rsid w:val="00097C8A"/>
    <w:rsid w:val="000A05B2"/>
    <w:rsid w:val="000A0A38"/>
    <w:rsid w:val="000B318F"/>
    <w:rsid w:val="000B411A"/>
    <w:rsid w:val="000B427F"/>
    <w:rsid w:val="000B7EE5"/>
    <w:rsid w:val="000C2BFF"/>
    <w:rsid w:val="000C4AFD"/>
    <w:rsid w:val="000E4169"/>
    <w:rsid w:val="000E665B"/>
    <w:rsid w:val="000F02C3"/>
    <w:rsid w:val="0010713A"/>
    <w:rsid w:val="00112493"/>
    <w:rsid w:val="00117327"/>
    <w:rsid w:val="00122EA7"/>
    <w:rsid w:val="00126984"/>
    <w:rsid w:val="00132176"/>
    <w:rsid w:val="0014050A"/>
    <w:rsid w:val="001601A9"/>
    <w:rsid w:val="00161F45"/>
    <w:rsid w:val="00162A98"/>
    <w:rsid w:val="00195C35"/>
    <w:rsid w:val="001A0684"/>
    <w:rsid w:val="001B1C2A"/>
    <w:rsid w:val="001D1142"/>
    <w:rsid w:val="001D1214"/>
    <w:rsid w:val="001D3360"/>
    <w:rsid w:val="002008C5"/>
    <w:rsid w:val="00203C57"/>
    <w:rsid w:val="00203F86"/>
    <w:rsid w:val="00207920"/>
    <w:rsid w:val="002120CC"/>
    <w:rsid w:val="002174CA"/>
    <w:rsid w:val="002177A7"/>
    <w:rsid w:val="002300C6"/>
    <w:rsid w:val="00230764"/>
    <w:rsid w:val="002322A2"/>
    <w:rsid w:val="002336F5"/>
    <w:rsid w:val="00237F7C"/>
    <w:rsid w:val="00243992"/>
    <w:rsid w:val="00247085"/>
    <w:rsid w:val="0024745D"/>
    <w:rsid w:val="00247F22"/>
    <w:rsid w:val="00273FAA"/>
    <w:rsid w:val="00284A5E"/>
    <w:rsid w:val="00294C24"/>
    <w:rsid w:val="002A6034"/>
    <w:rsid w:val="002A739F"/>
    <w:rsid w:val="002B0CFE"/>
    <w:rsid w:val="002D5ED6"/>
    <w:rsid w:val="002F0B69"/>
    <w:rsid w:val="002F1801"/>
    <w:rsid w:val="002F6422"/>
    <w:rsid w:val="0030568B"/>
    <w:rsid w:val="00305FE0"/>
    <w:rsid w:val="003111BA"/>
    <w:rsid w:val="00312F43"/>
    <w:rsid w:val="00317892"/>
    <w:rsid w:val="003229C8"/>
    <w:rsid w:val="0032308F"/>
    <w:rsid w:val="003514CE"/>
    <w:rsid w:val="003569D4"/>
    <w:rsid w:val="00360F2F"/>
    <w:rsid w:val="00362FD6"/>
    <w:rsid w:val="003658DB"/>
    <w:rsid w:val="00383916"/>
    <w:rsid w:val="00383BAF"/>
    <w:rsid w:val="0038569B"/>
    <w:rsid w:val="003925AA"/>
    <w:rsid w:val="00393AF4"/>
    <w:rsid w:val="003978BB"/>
    <w:rsid w:val="003A0811"/>
    <w:rsid w:val="003A72C5"/>
    <w:rsid w:val="003A7669"/>
    <w:rsid w:val="003B1332"/>
    <w:rsid w:val="003B602E"/>
    <w:rsid w:val="003D108B"/>
    <w:rsid w:val="003D15C1"/>
    <w:rsid w:val="003E5ED6"/>
    <w:rsid w:val="003E6E78"/>
    <w:rsid w:val="003F04CA"/>
    <w:rsid w:val="003F438B"/>
    <w:rsid w:val="003F49ED"/>
    <w:rsid w:val="00412C70"/>
    <w:rsid w:val="00431125"/>
    <w:rsid w:val="00431174"/>
    <w:rsid w:val="0043235F"/>
    <w:rsid w:val="00434400"/>
    <w:rsid w:val="00436463"/>
    <w:rsid w:val="00440215"/>
    <w:rsid w:val="00440EB3"/>
    <w:rsid w:val="004434F0"/>
    <w:rsid w:val="00452C1C"/>
    <w:rsid w:val="0045575C"/>
    <w:rsid w:val="00456756"/>
    <w:rsid w:val="00456836"/>
    <w:rsid w:val="00463A76"/>
    <w:rsid w:val="00464F3D"/>
    <w:rsid w:val="00474F20"/>
    <w:rsid w:val="00475E6D"/>
    <w:rsid w:val="00485079"/>
    <w:rsid w:val="00492282"/>
    <w:rsid w:val="0049743E"/>
    <w:rsid w:val="004A605A"/>
    <w:rsid w:val="004B5A65"/>
    <w:rsid w:val="004C20EC"/>
    <w:rsid w:val="004E3A07"/>
    <w:rsid w:val="004E3AF3"/>
    <w:rsid w:val="004E60F0"/>
    <w:rsid w:val="004F4425"/>
    <w:rsid w:val="00501135"/>
    <w:rsid w:val="00506D99"/>
    <w:rsid w:val="00507D9D"/>
    <w:rsid w:val="00511F82"/>
    <w:rsid w:val="00523AA3"/>
    <w:rsid w:val="00543DB8"/>
    <w:rsid w:val="00545E00"/>
    <w:rsid w:val="00545F08"/>
    <w:rsid w:val="00546A16"/>
    <w:rsid w:val="005475C5"/>
    <w:rsid w:val="005718AB"/>
    <w:rsid w:val="00580121"/>
    <w:rsid w:val="00583D2B"/>
    <w:rsid w:val="005855D2"/>
    <w:rsid w:val="00595500"/>
    <w:rsid w:val="005974F9"/>
    <w:rsid w:val="005A1D2C"/>
    <w:rsid w:val="005A48E4"/>
    <w:rsid w:val="005A727D"/>
    <w:rsid w:val="005B14C0"/>
    <w:rsid w:val="005C1208"/>
    <w:rsid w:val="005C6533"/>
    <w:rsid w:val="005D0EC8"/>
    <w:rsid w:val="005E193E"/>
    <w:rsid w:val="005E51D2"/>
    <w:rsid w:val="005E5240"/>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36B7E"/>
    <w:rsid w:val="00645483"/>
    <w:rsid w:val="0064585D"/>
    <w:rsid w:val="00665891"/>
    <w:rsid w:val="006672CD"/>
    <w:rsid w:val="00671A7F"/>
    <w:rsid w:val="00692186"/>
    <w:rsid w:val="00697DD0"/>
    <w:rsid w:val="006A4516"/>
    <w:rsid w:val="006A461D"/>
    <w:rsid w:val="006A4FF6"/>
    <w:rsid w:val="006A693D"/>
    <w:rsid w:val="006B633D"/>
    <w:rsid w:val="006C0235"/>
    <w:rsid w:val="006C62B2"/>
    <w:rsid w:val="006C70E8"/>
    <w:rsid w:val="006C7ADE"/>
    <w:rsid w:val="007159BF"/>
    <w:rsid w:val="00730722"/>
    <w:rsid w:val="0073451F"/>
    <w:rsid w:val="007433DE"/>
    <w:rsid w:val="007466BD"/>
    <w:rsid w:val="0077331B"/>
    <w:rsid w:val="00774222"/>
    <w:rsid w:val="00780301"/>
    <w:rsid w:val="0078034B"/>
    <w:rsid w:val="007828DC"/>
    <w:rsid w:val="00783749"/>
    <w:rsid w:val="00786414"/>
    <w:rsid w:val="0079087F"/>
    <w:rsid w:val="00791307"/>
    <w:rsid w:val="0079764C"/>
    <w:rsid w:val="007A1EB3"/>
    <w:rsid w:val="007A4B4A"/>
    <w:rsid w:val="007B3682"/>
    <w:rsid w:val="007B42A3"/>
    <w:rsid w:val="007C1C88"/>
    <w:rsid w:val="007C5F8D"/>
    <w:rsid w:val="007C6B7A"/>
    <w:rsid w:val="007D02E1"/>
    <w:rsid w:val="007D0BA8"/>
    <w:rsid w:val="007D191A"/>
    <w:rsid w:val="007D41E9"/>
    <w:rsid w:val="007D451C"/>
    <w:rsid w:val="007D7FD9"/>
    <w:rsid w:val="007E6E1F"/>
    <w:rsid w:val="007F3E85"/>
    <w:rsid w:val="007F669C"/>
    <w:rsid w:val="00805AD4"/>
    <w:rsid w:val="00805E58"/>
    <w:rsid w:val="00843AF7"/>
    <w:rsid w:val="00851C9C"/>
    <w:rsid w:val="00853BBD"/>
    <w:rsid w:val="00853DA3"/>
    <w:rsid w:val="008609AD"/>
    <w:rsid w:val="00860FB3"/>
    <w:rsid w:val="0086759F"/>
    <w:rsid w:val="008700A3"/>
    <w:rsid w:val="00871B68"/>
    <w:rsid w:val="00873094"/>
    <w:rsid w:val="0087380D"/>
    <w:rsid w:val="008775B7"/>
    <w:rsid w:val="00885E2D"/>
    <w:rsid w:val="008925B8"/>
    <w:rsid w:val="008953C3"/>
    <w:rsid w:val="008A4C1D"/>
    <w:rsid w:val="008A511A"/>
    <w:rsid w:val="008A647F"/>
    <w:rsid w:val="008A79BB"/>
    <w:rsid w:val="008B0AF2"/>
    <w:rsid w:val="008B0C05"/>
    <w:rsid w:val="008B4F57"/>
    <w:rsid w:val="008C7A1B"/>
    <w:rsid w:val="008D20E6"/>
    <w:rsid w:val="008E19D0"/>
    <w:rsid w:val="008E1B31"/>
    <w:rsid w:val="008E48CD"/>
    <w:rsid w:val="008F1B11"/>
    <w:rsid w:val="00906401"/>
    <w:rsid w:val="00907CF1"/>
    <w:rsid w:val="00937DD6"/>
    <w:rsid w:val="00953877"/>
    <w:rsid w:val="00954330"/>
    <w:rsid w:val="00954912"/>
    <w:rsid w:val="00956708"/>
    <w:rsid w:val="00964DB6"/>
    <w:rsid w:val="00965584"/>
    <w:rsid w:val="00967136"/>
    <w:rsid w:val="009813D8"/>
    <w:rsid w:val="009872F4"/>
    <w:rsid w:val="009928CD"/>
    <w:rsid w:val="00994162"/>
    <w:rsid w:val="009A0471"/>
    <w:rsid w:val="009A4D34"/>
    <w:rsid w:val="009A6292"/>
    <w:rsid w:val="009B012E"/>
    <w:rsid w:val="009B0AF3"/>
    <w:rsid w:val="009B0B0E"/>
    <w:rsid w:val="009E0A08"/>
    <w:rsid w:val="009E394B"/>
    <w:rsid w:val="009F59A2"/>
    <w:rsid w:val="009F6EC1"/>
    <w:rsid w:val="00A009DA"/>
    <w:rsid w:val="00A04A93"/>
    <w:rsid w:val="00A1281F"/>
    <w:rsid w:val="00A129B6"/>
    <w:rsid w:val="00A17E34"/>
    <w:rsid w:val="00A21703"/>
    <w:rsid w:val="00A336B8"/>
    <w:rsid w:val="00A44420"/>
    <w:rsid w:val="00A54A9E"/>
    <w:rsid w:val="00A57FBC"/>
    <w:rsid w:val="00A61C80"/>
    <w:rsid w:val="00A71A00"/>
    <w:rsid w:val="00A72A5B"/>
    <w:rsid w:val="00A8073C"/>
    <w:rsid w:val="00A86FBA"/>
    <w:rsid w:val="00A97481"/>
    <w:rsid w:val="00AA0245"/>
    <w:rsid w:val="00AA0ED3"/>
    <w:rsid w:val="00AA22F9"/>
    <w:rsid w:val="00AA3AC6"/>
    <w:rsid w:val="00AA6C9A"/>
    <w:rsid w:val="00AB4A3B"/>
    <w:rsid w:val="00AB4E41"/>
    <w:rsid w:val="00AC06CA"/>
    <w:rsid w:val="00AC25C6"/>
    <w:rsid w:val="00AE2347"/>
    <w:rsid w:val="00AE45A9"/>
    <w:rsid w:val="00AE77DE"/>
    <w:rsid w:val="00AF1555"/>
    <w:rsid w:val="00AF1A71"/>
    <w:rsid w:val="00AF74B3"/>
    <w:rsid w:val="00AF780A"/>
    <w:rsid w:val="00B01617"/>
    <w:rsid w:val="00B06C16"/>
    <w:rsid w:val="00B117E3"/>
    <w:rsid w:val="00B13580"/>
    <w:rsid w:val="00B15DB4"/>
    <w:rsid w:val="00B231F4"/>
    <w:rsid w:val="00B329D3"/>
    <w:rsid w:val="00B532EB"/>
    <w:rsid w:val="00B54A37"/>
    <w:rsid w:val="00B7329F"/>
    <w:rsid w:val="00B85C0E"/>
    <w:rsid w:val="00B868C5"/>
    <w:rsid w:val="00BA0C6E"/>
    <w:rsid w:val="00BA33CE"/>
    <w:rsid w:val="00BA5E94"/>
    <w:rsid w:val="00BB1641"/>
    <w:rsid w:val="00BB2C6C"/>
    <w:rsid w:val="00BB35EA"/>
    <w:rsid w:val="00BB430F"/>
    <w:rsid w:val="00BB5F06"/>
    <w:rsid w:val="00BB7AD2"/>
    <w:rsid w:val="00BD509A"/>
    <w:rsid w:val="00BD588D"/>
    <w:rsid w:val="00BE4262"/>
    <w:rsid w:val="00BF2752"/>
    <w:rsid w:val="00BF2E54"/>
    <w:rsid w:val="00BF626B"/>
    <w:rsid w:val="00C04DB5"/>
    <w:rsid w:val="00C06704"/>
    <w:rsid w:val="00C17C56"/>
    <w:rsid w:val="00C2066C"/>
    <w:rsid w:val="00C33DA7"/>
    <w:rsid w:val="00C44EB2"/>
    <w:rsid w:val="00C5112B"/>
    <w:rsid w:val="00C61AA7"/>
    <w:rsid w:val="00C6427D"/>
    <w:rsid w:val="00C66B77"/>
    <w:rsid w:val="00C70DF4"/>
    <w:rsid w:val="00C778A5"/>
    <w:rsid w:val="00C86FFE"/>
    <w:rsid w:val="00CA311A"/>
    <w:rsid w:val="00CB3CD0"/>
    <w:rsid w:val="00CB5951"/>
    <w:rsid w:val="00CC1F81"/>
    <w:rsid w:val="00CC2CAE"/>
    <w:rsid w:val="00CC4A38"/>
    <w:rsid w:val="00CD0FFD"/>
    <w:rsid w:val="00CD6923"/>
    <w:rsid w:val="00CD7395"/>
    <w:rsid w:val="00CE153C"/>
    <w:rsid w:val="00CE3F90"/>
    <w:rsid w:val="00CE6E79"/>
    <w:rsid w:val="00CF0789"/>
    <w:rsid w:val="00D01458"/>
    <w:rsid w:val="00D0317F"/>
    <w:rsid w:val="00D115B3"/>
    <w:rsid w:val="00D11D2D"/>
    <w:rsid w:val="00D25476"/>
    <w:rsid w:val="00D265F4"/>
    <w:rsid w:val="00D371F0"/>
    <w:rsid w:val="00D37FA6"/>
    <w:rsid w:val="00D40511"/>
    <w:rsid w:val="00D53C0D"/>
    <w:rsid w:val="00D6753B"/>
    <w:rsid w:val="00D67DC3"/>
    <w:rsid w:val="00D7590A"/>
    <w:rsid w:val="00D75F06"/>
    <w:rsid w:val="00D80F19"/>
    <w:rsid w:val="00D8543C"/>
    <w:rsid w:val="00D91A1D"/>
    <w:rsid w:val="00D9600A"/>
    <w:rsid w:val="00D971BA"/>
    <w:rsid w:val="00DA191E"/>
    <w:rsid w:val="00DA1A8A"/>
    <w:rsid w:val="00DB5364"/>
    <w:rsid w:val="00DB797B"/>
    <w:rsid w:val="00DC3BE7"/>
    <w:rsid w:val="00DC53D2"/>
    <w:rsid w:val="00DD35C8"/>
    <w:rsid w:val="00DE17B5"/>
    <w:rsid w:val="00E042C0"/>
    <w:rsid w:val="00E04E05"/>
    <w:rsid w:val="00E11BAC"/>
    <w:rsid w:val="00E26242"/>
    <w:rsid w:val="00E26F74"/>
    <w:rsid w:val="00E27896"/>
    <w:rsid w:val="00E329B4"/>
    <w:rsid w:val="00E37F82"/>
    <w:rsid w:val="00E40689"/>
    <w:rsid w:val="00E5568E"/>
    <w:rsid w:val="00E712C8"/>
    <w:rsid w:val="00E71F43"/>
    <w:rsid w:val="00E72CE9"/>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E6B57"/>
    <w:rsid w:val="00EF0D35"/>
    <w:rsid w:val="00EF1C71"/>
    <w:rsid w:val="00EF291A"/>
    <w:rsid w:val="00EF403A"/>
    <w:rsid w:val="00F02E4F"/>
    <w:rsid w:val="00F05363"/>
    <w:rsid w:val="00F120DD"/>
    <w:rsid w:val="00F14B26"/>
    <w:rsid w:val="00F150E5"/>
    <w:rsid w:val="00F26A79"/>
    <w:rsid w:val="00F31F35"/>
    <w:rsid w:val="00F4074E"/>
    <w:rsid w:val="00F5274F"/>
    <w:rsid w:val="00F5723E"/>
    <w:rsid w:val="00F61067"/>
    <w:rsid w:val="00F6139A"/>
    <w:rsid w:val="00F6616C"/>
    <w:rsid w:val="00F812EA"/>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qFormat/>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0">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D0BA8"/>
    <w:pPr>
      <w:jc w:val="both"/>
    </w:pPr>
    <w:rPr>
      <w:rFonts w:ascii="Calibri" w:eastAsia="宋体" w:hAnsi="Calibri" w:cs="Calibri"/>
      <w:kern w:val="2"/>
      <w:sz w:val="21"/>
      <w:szCs w:val="21"/>
      <w:lang w:val="en-US" w:eastAsia="zh-CN"/>
    </w:rPr>
  </w:style>
  <w:style w:type="paragraph" w:customStyle="1" w:styleId="11">
    <w:name w:val="正文1"/>
    <w:rsid w:val="00317892"/>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imsseo\RAN3\RAN3_119-bis-e_0417-0426\Post-Result\Inbox\R3-23158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558839-0214-4CD6-B73A-48B591FD0FE0}">
  <ds:schemaRefs>
    <ds:schemaRef ds:uri="http://schemas.openxmlformats.org/officeDocument/2006/bibliography"/>
  </ds:schemaRefs>
</ds:datastoreItem>
</file>

<file path=customXml/itemProps3.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4.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933</Words>
  <Characters>5320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zhangboyuan</dc:creator>
  <cp:keywords/>
  <cp:lastModifiedBy>Boyuan Zhang</cp:lastModifiedBy>
  <cp:revision>8</cp:revision>
  <dcterms:created xsi:type="dcterms:W3CDTF">2023-10-30T09:44:00Z</dcterms:created>
  <dcterms:modified xsi:type="dcterms:W3CDTF">2023-11-02T02:23:00Z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